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E4" w:rsidRDefault="006849E4" w:rsidP="006849E4">
      <w:pPr>
        <w:rPr>
          <w:b/>
        </w:rPr>
      </w:pPr>
      <w:r>
        <w:rPr>
          <w:b/>
        </w:rPr>
        <w:t>aLIGO ISC Whitening Module</w:t>
      </w:r>
      <w:r w:rsidR="002C32BA">
        <w:rPr>
          <w:b/>
        </w:rPr>
        <w:t xml:space="preserve"> Description</w:t>
      </w:r>
    </w:p>
    <w:p w:rsidR="002C32BA" w:rsidRDefault="00E74588" w:rsidP="006849E4">
      <w:pPr>
        <w:rPr>
          <w:b/>
          <w:bCs/>
        </w:rPr>
      </w:pPr>
      <w:r>
        <w:rPr>
          <w:b/>
          <w:bCs/>
        </w:rPr>
        <w:t>LIGO-T1000321-v</w:t>
      </w:r>
      <w:r w:rsidR="005A6668">
        <w:rPr>
          <w:b/>
          <w:bCs/>
        </w:rPr>
        <w:t>5</w:t>
      </w:r>
      <w:bookmarkStart w:id="0" w:name="_GoBack"/>
      <w:bookmarkEnd w:id="0"/>
    </w:p>
    <w:p w:rsidR="006849E4" w:rsidRDefault="006849E4" w:rsidP="006849E4">
      <w:pPr>
        <w:rPr>
          <w:b/>
        </w:rPr>
      </w:pPr>
      <w:r>
        <w:rPr>
          <w:b/>
        </w:rPr>
        <w:t>R. Abbott</w:t>
      </w:r>
    </w:p>
    <w:p w:rsidR="006849E4" w:rsidRDefault="005A6668" w:rsidP="006849E4">
      <w:pPr>
        <w:rPr>
          <w:b/>
        </w:rPr>
      </w:pPr>
      <w:r>
        <w:rPr>
          <w:b/>
        </w:rPr>
        <w:t>25 March</w:t>
      </w:r>
      <w:r w:rsidR="006849E4">
        <w:rPr>
          <w:b/>
        </w:rPr>
        <w:t xml:space="preserve"> 201</w:t>
      </w:r>
      <w:r>
        <w:rPr>
          <w:b/>
        </w:rPr>
        <w:t>4</w:t>
      </w:r>
    </w:p>
    <w:p w:rsidR="006849E4" w:rsidRDefault="006849E4" w:rsidP="006849E4">
      <w:pPr>
        <w:rPr>
          <w:b/>
        </w:rPr>
      </w:pPr>
    </w:p>
    <w:p w:rsidR="006849E4" w:rsidRPr="006849E4" w:rsidRDefault="006849E4" w:rsidP="006849E4">
      <w:pPr>
        <w:pStyle w:val="ListParagraph"/>
        <w:numPr>
          <w:ilvl w:val="0"/>
          <w:numId w:val="1"/>
        </w:numPr>
        <w:rPr>
          <w:b/>
        </w:rPr>
      </w:pPr>
      <w:r>
        <w:rPr>
          <w:b/>
        </w:rPr>
        <w:t>Overview</w:t>
      </w:r>
      <w:r>
        <w:t xml:space="preserve"> – A Whitening filter has been designed for general purpose signal whitening in the aLIGO ISC subsystem.  </w:t>
      </w:r>
      <w:r w:rsidR="00892C50">
        <w:t xml:space="preserve">The </w:t>
      </w:r>
      <w:r w:rsidR="00F33F4C">
        <w:t>main</w:t>
      </w:r>
      <w:r w:rsidR="00892C50">
        <w:t xml:space="preserve"> goal of this filter is to ensure signals of interest are comfortably above the input referred noise of the General Standards 32 channel ADC chosen for aLIGO digitization.  </w:t>
      </w:r>
      <w:r>
        <w:t>The required performance characteristics for this design are presented</w:t>
      </w:r>
      <w:r w:rsidR="00892C50">
        <w:t xml:space="preserve"> in </w:t>
      </w:r>
      <w:r w:rsidR="0058525D">
        <w:fldChar w:fldCharType="begin"/>
      </w:r>
      <w:r w:rsidR="00605FF5">
        <w:instrText xml:space="preserve"> REF _Ref264223185 \h </w:instrText>
      </w:r>
      <w:r w:rsidR="0058525D">
        <w:fldChar w:fldCharType="separate"/>
      </w:r>
      <w:r w:rsidR="00932ABA" w:rsidRPr="00605FF5">
        <w:rPr>
          <w:color w:val="000000" w:themeColor="text1"/>
        </w:rPr>
        <w:t xml:space="preserve">Table </w:t>
      </w:r>
      <w:r w:rsidR="00932ABA">
        <w:rPr>
          <w:noProof/>
          <w:color w:val="000000" w:themeColor="text1"/>
        </w:rPr>
        <w:t>1</w:t>
      </w:r>
      <w:r w:rsidR="0058525D">
        <w:fldChar w:fldCharType="end"/>
      </w:r>
      <w:r w:rsidR="00F33F4C">
        <w:t>.  T</w:t>
      </w:r>
      <w:r>
        <w:t>he design intende</w:t>
      </w:r>
      <w:r w:rsidR="00F33F4C">
        <w:t>d to fulfill these requirements is presented.</w:t>
      </w:r>
      <w:r>
        <w:t xml:space="preserve">  All of the subcircuits are shamelessly taken from successful iLIGO designs to eliminate design uncertainty</w:t>
      </w:r>
      <w:r w:rsidR="00F33F4C">
        <w:t xml:space="preserve"> and time consuming prototypes</w:t>
      </w:r>
      <w:r>
        <w:t>.</w:t>
      </w:r>
      <w:r w:rsidR="000D7C96">
        <w:t xml:space="preserve">  A goal of this write up is to establish this design as ready for production based on precedents set using similar circuits successfully deployed in LIGO.</w:t>
      </w:r>
    </w:p>
    <w:p w:rsidR="006849E4" w:rsidRPr="006849E4" w:rsidRDefault="006849E4" w:rsidP="006849E4">
      <w:pPr>
        <w:rPr>
          <w:b/>
        </w:rPr>
      </w:pPr>
    </w:p>
    <w:p w:rsidR="006849E4" w:rsidRPr="002A7C65" w:rsidRDefault="006849E4" w:rsidP="006849E4">
      <w:pPr>
        <w:pStyle w:val="ListParagraph"/>
        <w:numPr>
          <w:ilvl w:val="0"/>
          <w:numId w:val="1"/>
        </w:numPr>
        <w:rPr>
          <w:b/>
        </w:rPr>
      </w:pPr>
      <w:r>
        <w:rPr>
          <w:b/>
        </w:rPr>
        <w:t>Requirements</w:t>
      </w:r>
      <w:r>
        <w:t xml:space="preserve"> – As </w:t>
      </w:r>
      <w:r w:rsidR="00605FF5">
        <w:t xml:space="preserve">shown in </w:t>
      </w:r>
      <w:r w:rsidR="0058525D">
        <w:fldChar w:fldCharType="begin"/>
      </w:r>
      <w:r w:rsidR="00605FF5">
        <w:instrText xml:space="preserve"> REF _Ref264223185 \h </w:instrText>
      </w:r>
      <w:r w:rsidR="0058525D">
        <w:fldChar w:fldCharType="separate"/>
      </w:r>
      <w:r w:rsidR="00932ABA" w:rsidRPr="00605FF5">
        <w:rPr>
          <w:color w:val="000000" w:themeColor="text1"/>
        </w:rPr>
        <w:t xml:space="preserve">Table </w:t>
      </w:r>
      <w:r w:rsidR="00932ABA">
        <w:rPr>
          <w:noProof/>
          <w:color w:val="000000" w:themeColor="text1"/>
        </w:rPr>
        <w:t>1</w:t>
      </w:r>
      <w:r w:rsidR="0058525D">
        <w:fldChar w:fldCharType="end"/>
      </w:r>
      <w:r>
        <w:t>, the input referred noise requirements for the whitening filter are based on the output referred electronics noise of the preceding circuitry.  This whitening filter is most commonly used to amplify signals from the aLIGO: RF demodulators, DC Quadrant position sensing amplifiers, and critical ISC DC photodiodes.  The output dynamic range is designed to be compatible with the aLIGO Anti-aliasing function in conjunction with the standard aLIGO ADCs.</w:t>
      </w:r>
    </w:p>
    <w:p w:rsidR="002A7C65" w:rsidRPr="00605FF5" w:rsidRDefault="002A7C65" w:rsidP="002A7C65">
      <w:pPr>
        <w:pStyle w:val="ListParagraph"/>
        <w:rPr>
          <w:b/>
        </w:rPr>
      </w:pPr>
    </w:p>
    <w:p w:rsidR="00892C50" w:rsidRPr="00605FF5" w:rsidRDefault="00892C50" w:rsidP="00605FF5">
      <w:pPr>
        <w:pStyle w:val="Caption"/>
        <w:keepNext/>
        <w:jc w:val="center"/>
        <w:rPr>
          <w:color w:val="000000" w:themeColor="text1"/>
          <w:sz w:val="24"/>
          <w:szCs w:val="24"/>
        </w:rPr>
      </w:pPr>
      <w:bookmarkStart w:id="1" w:name="_Ref264223185"/>
      <w:r w:rsidRPr="00605FF5">
        <w:rPr>
          <w:color w:val="000000" w:themeColor="text1"/>
          <w:sz w:val="24"/>
          <w:szCs w:val="24"/>
        </w:rPr>
        <w:t xml:space="preserve">Table </w:t>
      </w:r>
      <w:r w:rsidR="0058525D" w:rsidRPr="00605FF5">
        <w:rPr>
          <w:color w:val="000000" w:themeColor="text1"/>
          <w:sz w:val="24"/>
          <w:szCs w:val="24"/>
        </w:rPr>
        <w:fldChar w:fldCharType="begin"/>
      </w:r>
      <w:r w:rsidRPr="00605FF5">
        <w:rPr>
          <w:color w:val="000000" w:themeColor="text1"/>
          <w:sz w:val="24"/>
          <w:szCs w:val="24"/>
        </w:rPr>
        <w:instrText xml:space="preserve"> SEQ Table \* ARABIC </w:instrText>
      </w:r>
      <w:r w:rsidR="0058525D" w:rsidRPr="00605FF5">
        <w:rPr>
          <w:color w:val="000000" w:themeColor="text1"/>
          <w:sz w:val="24"/>
          <w:szCs w:val="24"/>
        </w:rPr>
        <w:fldChar w:fldCharType="separate"/>
      </w:r>
      <w:r w:rsidR="00932ABA">
        <w:rPr>
          <w:noProof/>
          <w:color w:val="000000" w:themeColor="text1"/>
          <w:sz w:val="24"/>
          <w:szCs w:val="24"/>
        </w:rPr>
        <w:t>1</w:t>
      </w:r>
      <w:r w:rsidR="0058525D" w:rsidRPr="00605FF5">
        <w:rPr>
          <w:color w:val="000000" w:themeColor="text1"/>
          <w:sz w:val="24"/>
          <w:szCs w:val="24"/>
        </w:rPr>
        <w:fldChar w:fldCharType="end"/>
      </w:r>
      <w:bookmarkEnd w:id="1"/>
    </w:p>
    <w:tbl>
      <w:tblPr>
        <w:tblStyle w:val="TableGrid"/>
        <w:tblW w:w="0" w:type="auto"/>
        <w:jc w:val="center"/>
        <w:tblLook w:val="04A0" w:firstRow="1" w:lastRow="0" w:firstColumn="1" w:lastColumn="0" w:noHBand="0" w:noVBand="1"/>
      </w:tblPr>
      <w:tblGrid>
        <w:gridCol w:w="3129"/>
        <w:gridCol w:w="4035"/>
      </w:tblGrid>
      <w:tr w:rsidR="002A7C65" w:rsidTr="002A7C65">
        <w:trPr>
          <w:jc w:val="center"/>
        </w:trPr>
        <w:tc>
          <w:tcPr>
            <w:tcW w:w="0" w:type="auto"/>
          </w:tcPr>
          <w:p w:rsidR="002A7C65" w:rsidRPr="002A7C65" w:rsidRDefault="002A7C65" w:rsidP="002A7C65">
            <w:pPr>
              <w:jc w:val="center"/>
              <w:rPr>
                <w:b/>
                <w:u w:val="single"/>
              </w:rPr>
            </w:pPr>
            <w:r w:rsidRPr="002A7C65">
              <w:rPr>
                <w:b/>
                <w:u w:val="single"/>
              </w:rPr>
              <w:t>Parameter</w:t>
            </w:r>
          </w:p>
        </w:tc>
        <w:tc>
          <w:tcPr>
            <w:tcW w:w="0" w:type="auto"/>
          </w:tcPr>
          <w:p w:rsidR="002A7C65" w:rsidRPr="002A7C65" w:rsidRDefault="002A7C65" w:rsidP="002A7C65">
            <w:pPr>
              <w:rPr>
                <w:b/>
                <w:u w:val="single"/>
              </w:rPr>
            </w:pPr>
            <w:r w:rsidRPr="002A7C65">
              <w:rPr>
                <w:b/>
                <w:u w:val="single"/>
              </w:rPr>
              <w:t>Requirement</w:t>
            </w:r>
          </w:p>
        </w:tc>
      </w:tr>
      <w:tr w:rsidR="002A7C65" w:rsidTr="002A7C65">
        <w:trPr>
          <w:jc w:val="center"/>
        </w:trPr>
        <w:tc>
          <w:tcPr>
            <w:tcW w:w="0" w:type="auto"/>
          </w:tcPr>
          <w:p w:rsidR="002A7C65" w:rsidRPr="002A7C65" w:rsidRDefault="00400912" w:rsidP="002A7C65">
            <w:r>
              <w:t>Input s</w:t>
            </w:r>
            <w:r w:rsidR="002A7C65" w:rsidRPr="002A7C65">
              <w:t>tructure</w:t>
            </w:r>
          </w:p>
        </w:tc>
        <w:tc>
          <w:tcPr>
            <w:tcW w:w="0" w:type="auto"/>
          </w:tcPr>
          <w:p w:rsidR="002A7C65" w:rsidRPr="002A7C65" w:rsidRDefault="00400912" w:rsidP="002A7C65">
            <w:r>
              <w:t>Analog differential r</w:t>
            </w:r>
            <w:r w:rsidR="002A7C65">
              <w:t>ec</w:t>
            </w:r>
            <w:r w:rsidR="002A7C65" w:rsidRPr="002A7C65">
              <w:t>e</w:t>
            </w:r>
            <w:r w:rsidR="002A7C65">
              <w:t>i</w:t>
            </w:r>
            <w:r w:rsidR="002A7C65" w:rsidRPr="002A7C65">
              <w:t>ver</w:t>
            </w:r>
          </w:p>
        </w:tc>
      </w:tr>
      <w:tr w:rsidR="002A7C65" w:rsidTr="002A7C65">
        <w:trPr>
          <w:jc w:val="center"/>
        </w:trPr>
        <w:tc>
          <w:tcPr>
            <w:tcW w:w="0" w:type="auto"/>
          </w:tcPr>
          <w:p w:rsidR="002A7C65" w:rsidRPr="002A7C65" w:rsidRDefault="00400912" w:rsidP="002A7C65">
            <w:r>
              <w:t>DC p</w:t>
            </w:r>
            <w:r w:rsidR="002A7C65">
              <w:t xml:space="preserve">ower </w:t>
            </w:r>
          </w:p>
        </w:tc>
        <w:tc>
          <w:tcPr>
            <w:tcW w:w="0" w:type="auto"/>
          </w:tcPr>
          <w:p w:rsidR="002A7C65" w:rsidRPr="002A7C65" w:rsidRDefault="002A7C65" w:rsidP="002A7C65">
            <w:r>
              <w:t>+/- 18 VDC</w:t>
            </w:r>
          </w:p>
        </w:tc>
      </w:tr>
      <w:tr w:rsidR="002A7C65" w:rsidTr="002A7C65">
        <w:trPr>
          <w:jc w:val="center"/>
        </w:trPr>
        <w:tc>
          <w:tcPr>
            <w:tcW w:w="0" w:type="auto"/>
          </w:tcPr>
          <w:p w:rsidR="002A7C65" w:rsidRPr="002A7C65" w:rsidRDefault="002A7C65" w:rsidP="002A7C65">
            <w:r>
              <w:t>Channels per PCB</w:t>
            </w:r>
          </w:p>
        </w:tc>
        <w:tc>
          <w:tcPr>
            <w:tcW w:w="0" w:type="auto"/>
          </w:tcPr>
          <w:p w:rsidR="002A7C65" w:rsidRPr="002A7C65" w:rsidRDefault="002A7C65" w:rsidP="002A7C65">
            <w:r>
              <w:t>4</w:t>
            </w:r>
            <w:r w:rsidR="00400912">
              <w:t xml:space="preserve"> channels</w:t>
            </w:r>
          </w:p>
        </w:tc>
      </w:tr>
      <w:tr w:rsidR="002A7C65" w:rsidTr="002A7C65">
        <w:trPr>
          <w:jc w:val="center"/>
        </w:trPr>
        <w:tc>
          <w:tcPr>
            <w:tcW w:w="0" w:type="auto"/>
          </w:tcPr>
          <w:p w:rsidR="002A7C65" w:rsidRPr="002A7C65" w:rsidRDefault="002A7C65" w:rsidP="00400912">
            <w:r>
              <w:t>Input</w:t>
            </w:r>
            <w:r w:rsidR="00400912">
              <w:t xml:space="preserve"> </w:t>
            </w:r>
            <w:r>
              <w:t xml:space="preserve"> </w:t>
            </w:r>
            <w:r w:rsidR="00400912">
              <w:t>referred noise v</w:t>
            </w:r>
            <w:r>
              <w:t>oltage</w:t>
            </w:r>
          </w:p>
        </w:tc>
        <w:tc>
          <w:tcPr>
            <w:tcW w:w="0" w:type="auto"/>
          </w:tcPr>
          <w:p w:rsidR="002A7C65" w:rsidRPr="002A7C65" w:rsidRDefault="002A7C65" w:rsidP="00B7106F">
            <w:r>
              <w:t>Less than 20</w:t>
            </w:r>
            <w:r w:rsidR="00B7106F">
              <w:t>n</w:t>
            </w:r>
            <w:r>
              <w:t>Vrms/√Hz</w:t>
            </w:r>
          </w:p>
        </w:tc>
      </w:tr>
      <w:tr w:rsidR="002A7C65" w:rsidTr="002A7C65">
        <w:trPr>
          <w:jc w:val="center"/>
        </w:trPr>
        <w:tc>
          <w:tcPr>
            <w:tcW w:w="0" w:type="auto"/>
          </w:tcPr>
          <w:p w:rsidR="002A7C65" w:rsidRPr="002A7C65" w:rsidRDefault="00400912" w:rsidP="002A7C65">
            <w:r>
              <w:t>Gain adjustability r</w:t>
            </w:r>
            <w:r w:rsidR="002A7C65">
              <w:t>ange</w:t>
            </w:r>
          </w:p>
        </w:tc>
        <w:tc>
          <w:tcPr>
            <w:tcW w:w="0" w:type="auto"/>
          </w:tcPr>
          <w:p w:rsidR="002A7C65" w:rsidRPr="002A7C65" w:rsidRDefault="002A7C65" w:rsidP="002A7C65">
            <w:r>
              <w:t>Greater than 40dB</w:t>
            </w:r>
          </w:p>
        </w:tc>
      </w:tr>
      <w:tr w:rsidR="002A7C65" w:rsidTr="002A7C65">
        <w:trPr>
          <w:jc w:val="center"/>
        </w:trPr>
        <w:tc>
          <w:tcPr>
            <w:tcW w:w="0" w:type="auto"/>
          </w:tcPr>
          <w:p w:rsidR="002A7C65" w:rsidRPr="002A7C65" w:rsidRDefault="00400912" w:rsidP="002A7C65">
            <w:r>
              <w:t>Minimum gain s</w:t>
            </w:r>
            <w:r w:rsidR="002A7C65">
              <w:t>tep</w:t>
            </w:r>
            <w:r>
              <w:t xml:space="preserve"> </w:t>
            </w:r>
            <w:r w:rsidR="002A7C65">
              <w:t>size</w:t>
            </w:r>
          </w:p>
        </w:tc>
        <w:tc>
          <w:tcPr>
            <w:tcW w:w="0" w:type="auto"/>
          </w:tcPr>
          <w:p w:rsidR="002A7C65" w:rsidRPr="002A7C65" w:rsidRDefault="00B7106F" w:rsidP="002A7C65">
            <w:r>
              <w:t>3</w:t>
            </w:r>
            <w:r w:rsidR="002A7C65">
              <w:t>dB</w:t>
            </w:r>
          </w:p>
        </w:tc>
      </w:tr>
      <w:tr w:rsidR="002A7C65" w:rsidTr="002A7C65">
        <w:trPr>
          <w:jc w:val="center"/>
        </w:trPr>
        <w:tc>
          <w:tcPr>
            <w:tcW w:w="0" w:type="auto"/>
          </w:tcPr>
          <w:p w:rsidR="002A7C65" w:rsidRPr="002A7C65" w:rsidRDefault="00400912" w:rsidP="002A7C65">
            <w:r>
              <w:t>Total DC current per board</w:t>
            </w:r>
          </w:p>
        </w:tc>
        <w:tc>
          <w:tcPr>
            <w:tcW w:w="0" w:type="auto"/>
          </w:tcPr>
          <w:p w:rsidR="002A7C65" w:rsidRDefault="00400912" w:rsidP="002A7C65">
            <w:r>
              <w:t>400mA per supply</w:t>
            </w:r>
            <w:r w:rsidR="00776058">
              <w:t>, required to control</w:t>
            </w:r>
          </w:p>
          <w:p w:rsidR="00776058" w:rsidRPr="002A7C65" w:rsidRDefault="00776058" w:rsidP="002A7C65">
            <w:r>
              <w:t>thermal problems in aLIGO racks</w:t>
            </w:r>
          </w:p>
        </w:tc>
      </w:tr>
      <w:tr w:rsidR="002A7C65" w:rsidTr="002A7C65">
        <w:trPr>
          <w:jc w:val="center"/>
        </w:trPr>
        <w:tc>
          <w:tcPr>
            <w:tcW w:w="0" w:type="auto"/>
          </w:tcPr>
          <w:p w:rsidR="002A7C65" w:rsidRPr="002A7C65" w:rsidRDefault="00400912" w:rsidP="002A7C65">
            <w:r>
              <w:t>Output voltage dynamic range</w:t>
            </w:r>
          </w:p>
        </w:tc>
        <w:tc>
          <w:tcPr>
            <w:tcW w:w="0" w:type="auto"/>
          </w:tcPr>
          <w:p w:rsidR="002A7C65" w:rsidRPr="002A7C65" w:rsidRDefault="00400912" w:rsidP="002A7C65">
            <w:r>
              <w:t>+/- 20 volts p-p</w:t>
            </w:r>
          </w:p>
        </w:tc>
      </w:tr>
      <w:tr w:rsidR="002A7C65" w:rsidTr="002A7C65">
        <w:trPr>
          <w:jc w:val="center"/>
        </w:trPr>
        <w:tc>
          <w:tcPr>
            <w:tcW w:w="0" w:type="auto"/>
          </w:tcPr>
          <w:p w:rsidR="002A7C65" w:rsidRPr="002A7C65" w:rsidRDefault="00400912" w:rsidP="002A7C65">
            <w:r>
              <w:t>Control interface</w:t>
            </w:r>
          </w:p>
        </w:tc>
        <w:tc>
          <w:tcPr>
            <w:tcW w:w="0" w:type="auto"/>
          </w:tcPr>
          <w:p w:rsidR="00400912" w:rsidRPr="002A7C65" w:rsidRDefault="00400912" w:rsidP="002A7C65">
            <w:r>
              <w:t xml:space="preserve">32 bit </w:t>
            </w:r>
            <w:r w:rsidR="00F33F4C">
              <w:t xml:space="preserve">TTL </w:t>
            </w:r>
            <w:r>
              <w:t>parallel control</w:t>
            </w:r>
            <w:r w:rsidR="00892C50">
              <w:t xml:space="preserve"> with latch</w:t>
            </w:r>
          </w:p>
        </w:tc>
      </w:tr>
      <w:tr w:rsidR="00F33F4C" w:rsidTr="002A7C65">
        <w:trPr>
          <w:jc w:val="center"/>
        </w:trPr>
        <w:tc>
          <w:tcPr>
            <w:tcW w:w="0" w:type="auto"/>
          </w:tcPr>
          <w:p w:rsidR="00F33F4C" w:rsidRDefault="00F33F4C" w:rsidP="002A7C65">
            <w:r>
              <w:t>Control readback</w:t>
            </w:r>
          </w:p>
        </w:tc>
        <w:tc>
          <w:tcPr>
            <w:tcW w:w="0" w:type="auto"/>
          </w:tcPr>
          <w:p w:rsidR="00F33F4C" w:rsidRDefault="00F33F4C" w:rsidP="002A7C65">
            <w:r>
              <w:t>Every control bit is read back to control</w:t>
            </w:r>
          </w:p>
          <w:p w:rsidR="00F33F4C" w:rsidRDefault="00F33F4C" w:rsidP="002A7C65">
            <w:r>
              <w:t>computer for integrity check</w:t>
            </w:r>
          </w:p>
        </w:tc>
      </w:tr>
      <w:tr w:rsidR="00400912" w:rsidTr="002A7C65">
        <w:trPr>
          <w:jc w:val="center"/>
        </w:trPr>
        <w:tc>
          <w:tcPr>
            <w:tcW w:w="0" w:type="auto"/>
          </w:tcPr>
          <w:p w:rsidR="00400912" w:rsidRDefault="00400912" w:rsidP="002A7C65">
            <w:r>
              <w:t>Analog filter function</w:t>
            </w:r>
          </w:p>
        </w:tc>
        <w:tc>
          <w:tcPr>
            <w:tcW w:w="0" w:type="auto"/>
          </w:tcPr>
          <w:p w:rsidR="00364159" w:rsidRDefault="00400912" w:rsidP="002A7C65">
            <w:r>
              <w:t xml:space="preserve">3 stages of zero-pole filter, </w:t>
            </w:r>
            <w:proofErr w:type="spellStart"/>
            <w:r>
              <w:t>Fp</w:t>
            </w:r>
            <w:proofErr w:type="spellEnd"/>
            <w:r>
              <w:t>/</w:t>
            </w:r>
            <w:proofErr w:type="spellStart"/>
            <w:r>
              <w:t>Fz</w:t>
            </w:r>
            <w:proofErr w:type="spellEnd"/>
            <w:r>
              <w:t xml:space="preserve"> ~10</w:t>
            </w:r>
            <w:r w:rsidR="00364159">
              <w:t>,</w:t>
            </w:r>
          </w:p>
          <w:p w:rsidR="00364159" w:rsidRDefault="00364159" w:rsidP="002A7C65">
            <w:r>
              <w:t>each stage is independently switchable</w:t>
            </w:r>
          </w:p>
        </w:tc>
      </w:tr>
      <w:tr w:rsidR="00892C50" w:rsidTr="002A7C65">
        <w:trPr>
          <w:jc w:val="center"/>
        </w:trPr>
        <w:tc>
          <w:tcPr>
            <w:tcW w:w="0" w:type="auto"/>
          </w:tcPr>
          <w:p w:rsidR="00892C50" w:rsidRDefault="00892C50" w:rsidP="002A7C65">
            <w:r>
              <w:t>Output structure</w:t>
            </w:r>
          </w:p>
        </w:tc>
        <w:tc>
          <w:tcPr>
            <w:tcW w:w="0" w:type="auto"/>
          </w:tcPr>
          <w:p w:rsidR="00892C50" w:rsidRDefault="00892C50" w:rsidP="002A7C65">
            <w:r>
              <w:t>Balanced Differential Transmission</w:t>
            </w:r>
          </w:p>
        </w:tc>
      </w:tr>
      <w:tr w:rsidR="00892C50" w:rsidTr="002A7C65">
        <w:trPr>
          <w:jc w:val="center"/>
        </w:trPr>
        <w:tc>
          <w:tcPr>
            <w:tcW w:w="0" w:type="auto"/>
          </w:tcPr>
          <w:p w:rsidR="00892C50" w:rsidRDefault="00892C50" w:rsidP="002A7C65">
            <w:r>
              <w:t>Input impedance</w:t>
            </w:r>
          </w:p>
        </w:tc>
        <w:tc>
          <w:tcPr>
            <w:tcW w:w="0" w:type="auto"/>
          </w:tcPr>
          <w:p w:rsidR="00892C50" w:rsidRDefault="00892C50" w:rsidP="002A7C65">
            <w:r>
              <w:t>100kΩ</w:t>
            </w:r>
          </w:p>
        </w:tc>
      </w:tr>
      <w:tr w:rsidR="00892C50" w:rsidTr="002A7C65">
        <w:trPr>
          <w:jc w:val="center"/>
        </w:trPr>
        <w:tc>
          <w:tcPr>
            <w:tcW w:w="0" w:type="auto"/>
          </w:tcPr>
          <w:p w:rsidR="00892C50" w:rsidRDefault="00892C50" w:rsidP="002A7C65">
            <w:r>
              <w:t>Slew rate</w:t>
            </w:r>
          </w:p>
        </w:tc>
        <w:tc>
          <w:tcPr>
            <w:tcW w:w="0" w:type="auto"/>
          </w:tcPr>
          <w:p w:rsidR="00892C50" w:rsidRDefault="00892C50" w:rsidP="002A7C65">
            <w:r>
              <w:t>10 volts/µsec</w:t>
            </w:r>
          </w:p>
        </w:tc>
      </w:tr>
      <w:tr w:rsidR="00892C50" w:rsidTr="002A7C65">
        <w:trPr>
          <w:jc w:val="center"/>
        </w:trPr>
        <w:tc>
          <w:tcPr>
            <w:tcW w:w="0" w:type="auto"/>
          </w:tcPr>
          <w:p w:rsidR="00892C50" w:rsidRDefault="00892C50" w:rsidP="002A7C65">
            <w:r>
              <w:t>-3dB Bandwidth</w:t>
            </w:r>
          </w:p>
        </w:tc>
        <w:tc>
          <w:tcPr>
            <w:tcW w:w="0" w:type="auto"/>
          </w:tcPr>
          <w:p w:rsidR="00605FF5" w:rsidRDefault="00892C50" w:rsidP="002A7C65">
            <w:r>
              <w:t>100 kHz</w:t>
            </w:r>
          </w:p>
        </w:tc>
      </w:tr>
      <w:tr w:rsidR="00605FF5" w:rsidTr="002A7C65">
        <w:trPr>
          <w:jc w:val="center"/>
        </w:trPr>
        <w:tc>
          <w:tcPr>
            <w:tcW w:w="0" w:type="auto"/>
          </w:tcPr>
          <w:p w:rsidR="00605FF5" w:rsidRDefault="00605FF5" w:rsidP="002A7C65">
            <w:r>
              <w:t>Mechanical</w:t>
            </w:r>
          </w:p>
        </w:tc>
        <w:tc>
          <w:tcPr>
            <w:tcW w:w="0" w:type="auto"/>
          </w:tcPr>
          <w:p w:rsidR="00605FF5" w:rsidRDefault="00605FF5" w:rsidP="002A7C65">
            <w:r>
              <w:t>1U, 19 inch rack-mounted chassis</w:t>
            </w:r>
          </w:p>
        </w:tc>
      </w:tr>
    </w:tbl>
    <w:p w:rsidR="00E374EA" w:rsidRDefault="00E374EA" w:rsidP="002A7C65">
      <w:pPr>
        <w:rPr>
          <w:b/>
        </w:rPr>
      </w:pPr>
    </w:p>
    <w:p w:rsidR="00E374EA" w:rsidRDefault="00E374EA">
      <w:pPr>
        <w:spacing w:after="200" w:line="276" w:lineRule="auto"/>
        <w:rPr>
          <w:b/>
        </w:rPr>
      </w:pPr>
      <w:r>
        <w:rPr>
          <w:b/>
        </w:rPr>
        <w:br w:type="page"/>
      </w:r>
    </w:p>
    <w:p w:rsidR="002A7C65" w:rsidRDefault="002A7C65" w:rsidP="002A7C65">
      <w:pPr>
        <w:rPr>
          <w:b/>
        </w:rPr>
      </w:pPr>
    </w:p>
    <w:p w:rsidR="00E374EA" w:rsidRDefault="00E374EA" w:rsidP="00E374EA">
      <w:pPr>
        <w:pStyle w:val="ListParagraph"/>
        <w:numPr>
          <w:ilvl w:val="0"/>
          <w:numId w:val="1"/>
        </w:numPr>
        <w:rPr>
          <w:b/>
        </w:rPr>
      </w:pPr>
      <w:r>
        <w:rPr>
          <w:b/>
        </w:rPr>
        <w:t>Circuit Solutions</w:t>
      </w:r>
    </w:p>
    <w:p w:rsidR="00E74588" w:rsidRDefault="00E74588" w:rsidP="00906FB7">
      <w:pPr>
        <w:pStyle w:val="ListParagraph"/>
        <w:numPr>
          <w:ilvl w:val="1"/>
          <w:numId w:val="1"/>
        </w:numPr>
        <w:rPr>
          <w:b/>
        </w:rPr>
      </w:pPr>
      <w:r>
        <w:rPr>
          <w:b/>
        </w:rPr>
        <w:t>Block Diagram</w:t>
      </w:r>
    </w:p>
    <w:p w:rsidR="00E74588" w:rsidRPr="00E74588" w:rsidRDefault="00E74588" w:rsidP="00E74588">
      <w:pPr>
        <w:pStyle w:val="Caption"/>
        <w:keepNext/>
        <w:jc w:val="center"/>
        <w:rPr>
          <w:color w:val="000000" w:themeColor="text1"/>
        </w:rPr>
      </w:pPr>
      <w:r w:rsidRPr="00E74588">
        <w:rPr>
          <w:color w:val="000000" w:themeColor="text1"/>
        </w:rPr>
        <w:t xml:space="preserve">Figure </w:t>
      </w:r>
      <w:r w:rsidR="0058525D" w:rsidRPr="00E74588">
        <w:rPr>
          <w:color w:val="000000" w:themeColor="text1"/>
        </w:rPr>
        <w:fldChar w:fldCharType="begin"/>
      </w:r>
      <w:r w:rsidRPr="00E74588">
        <w:rPr>
          <w:color w:val="000000" w:themeColor="text1"/>
        </w:rPr>
        <w:instrText xml:space="preserve"> SEQ Figure \* ARABIC </w:instrText>
      </w:r>
      <w:r w:rsidR="0058525D" w:rsidRPr="00E74588">
        <w:rPr>
          <w:color w:val="000000" w:themeColor="text1"/>
        </w:rPr>
        <w:fldChar w:fldCharType="separate"/>
      </w:r>
      <w:r w:rsidR="00932ABA">
        <w:rPr>
          <w:noProof/>
          <w:color w:val="000000" w:themeColor="text1"/>
        </w:rPr>
        <w:t>1</w:t>
      </w:r>
      <w:r w:rsidR="0058525D" w:rsidRPr="00E74588">
        <w:rPr>
          <w:color w:val="000000" w:themeColor="text1"/>
        </w:rPr>
        <w:fldChar w:fldCharType="end"/>
      </w:r>
    </w:p>
    <w:p w:rsidR="00E74588" w:rsidRPr="00E74588" w:rsidRDefault="00E74588" w:rsidP="00E74588">
      <w:pPr>
        <w:rPr>
          <w:b/>
        </w:rPr>
      </w:pPr>
      <w:r>
        <w:rPr>
          <w:b/>
          <w:noProof/>
        </w:rPr>
        <w:drawing>
          <wp:inline distT="0" distB="0" distL="0" distR="0">
            <wp:extent cx="5943600" cy="153424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943600" cy="1534245"/>
                    </a:xfrm>
                    <a:prstGeom prst="rect">
                      <a:avLst/>
                    </a:prstGeom>
                    <a:noFill/>
                    <a:ln w="9525">
                      <a:noFill/>
                      <a:miter lim="800000"/>
                      <a:headEnd/>
                      <a:tailEnd/>
                    </a:ln>
                  </pic:spPr>
                </pic:pic>
              </a:graphicData>
            </a:graphic>
          </wp:inline>
        </w:drawing>
      </w:r>
    </w:p>
    <w:p w:rsidR="00906FB7" w:rsidRPr="00906FB7" w:rsidRDefault="00E374EA" w:rsidP="00906FB7">
      <w:pPr>
        <w:pStyle w:val="ListParagraph"/>
        <w:numPr>
          <w:ilvl w:val="1"/>
          <w:numId w:val="1"/>
        </w:numPr>
        <w:rPr>
          <w:b/>
        </w:rPr>
      </w:pPr>
      <w:r>
        <w:t>A fully differential, instrumentation amplifier front en</w:t>
      </w:r>
      <w:r w:rsidR="00906FB7">
        <w:t>d is employed as shown in</w:t>
      </w:r>
      <w:r>
        <w:t xml:space="preserve"> </w:t>
      </w:r>
      <w:r w:rsidR="0058525D">
        <w:fldChar w:fldCharType="begin"/>
      </w:r>
      <w:r w:rsidR="00906FB7">
        <w:instrText xml:space="preserve"> REF _Ref264224918 \h </w:instrText>
      </w:r>
      <w:r w:rsidR="0058525D">
        <w:fldChar w:fldCharType="separate"/>
      </w:r>
      <w:r w:rsidR="00932ABA" w:rsidRPr="00906FB7">
        <w:rPr>
          <w:color w:val="000000" w:themeColor="text1"/>
        </w:rPr>
        <w:t xml:space="preserve">Figure </w:t>
      </w:r>
      <w:r w:rsidR="00932ABA">
        <w:rPr>
          <w:noProof/>
          <w:color w:val="000000" w:themeColor="text1"/>
        </w:rPr>
        <w:t>2</w:t>
      </w:r>
      <w:r w:rsidR="0058525D">
        <w:fldChar w:fldCharType="end"/>
      </w:r>
      <w:r>
        <w:t>.</w:t>
      </w:r>
    </w:p>
    <w:p w:rsidR="00906FB7" w:rsidRPr="00906FB7" w:rsidRDefault="00906FB7" w:rsidP="00906FB7">
      <w:pPr>
        <w:rPr>
          <w:b/>
        </w:rPr>
      </w:pPr>
    </w:p>
    <w:p w:rsidR="00906FB7" w:rsidRPr="00906FB7" w:rsidRDefault="00906FB7" w:rsidP="00906FB7">
      <w:pPr>
        <w:pStyle w:val="Caption"/>
        <w:keepNext/>
        <w:jc w:val="center"/>
        <w:rPr>
          <w:color w:val="000000" w:themeColor="text1"/>
        </w:rPr>
      </w:pPr>
      <w:bookmarkStart w:id="2" w:name="_Ref264224918"/>
      <w:r w:rsidRPr="00906FB7">
        <w:rPr>
          <w:color w:val="000000" w:themeColor="text1"/>
        </w:rPr>
        <w:t xml:space="preserve">Figure </w:t>
      </w:r>
      <w:r w:rsidR="0058525D" w:rsidRPr="00906FB7">
        <w:rPr>
          <w:color w:val="000000" w:themeColor="text1"/>
        </w:rPr>
        <w:fldChar w:fldCharType="begin"/>
      </w:r>
      <w:r w:rsidRPr="00906FB7">
        <w:rPr>
          <w:color w:val="000000" w:themeColor="text1"/>
        </w:rPr>
        <w:instrText xml:space="preserve"> SEQ Figure \* ARABIC </w:instrText>
      </w:r>
      <w:r w:rsidR="0058525D" w:rsidRPr="00906FB7">
        <w:rPr>
          <w:color w:val="000000" w:themeColor="text1"/>
        </w:rPr>
        <w:fldChar w:fldCharType="separate"/>
      </w:r>
      <w:r w:rsidR="00932ABA">
        <w:rPr>
          <w:noProof/>
          <w:color w:val="000000" w:themeColor="text1"/>
        </w:rPr>
        <w:t>2</w:t>
      </w:r>
      <w:r w:rsidR="0058525D" w:rsidRPr="00906FB7">
        <w:rPr>
          <w:color w:val="000000" w:themeColor="text1"/>
        </w:rPr>
        <w:fldChar w:fldCharType="end"/>
      </w:r>
      <w:bookmarkEnd w:id="2"/>
    </w:p>
    <w:p w:rsidR="005A6668" w:rsidRDefault="005A6668" w:rsidP="00E374EA">
      <w:pPr>
        <w:jc w:val="center"/>
        <w:rPr>
          <w:b/>
        </w:rPr>
      </w:pPr>
      <w:r>
        <w:rPr>
          <w:b/>
          <w:noProof/>
        </w:rPr>
        <w:drawing>
          <wp:inline distT="0" distB="0" distL="0" distR="0">
            <wp:extent cx="5260340" cy="3561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0340" cy="3561080"/>
                    </a:xfrm>
                    <a:prstGeom prst="rect">
                      <a:avLst/>
                    </a:prstGeom>
                    <a:noFill/>
                    <a:ln>
                      <a:noFill/>
                    </a:ln>
                  </pic:spPr>
                </pic:pic>
              </a:graphicData>
            </a:graphic>
          </wp:inline>
        </w:drawing>
      </w:r>
    </w:p>
    <w:p w:rsidR="005A6668" w:rsidRDefault="005A6668">
      <w:pPr>
        <w:spacing w:after="200" w:line="276" w:lineRule="auto"/>
        <w:rPr>
          <w:b/>
        </w:rPr>
      </w:pPr>
      <w:r>
        <w:rPr>
          <w:b/>
        </w:rPr>
        <w:br w:type="page"/>
      </w:r>
    </w:p>
    <w:p w:rsidR="00E374EA" w:rsidRDefault="00E374EA" w:rsidP="00E374EA">
      <w:pPr>
        <w:jc w:val="center"/>
        <w:rPr>
          <w:b/>
        </w:rPr>
      </w:pPr>
    </w:p>
    <w:p w:rsidR="0037232D" w:rsidRDefault="0037232D" w:rsidP="00E374EA">
      <w:pPr>
        <w:jc w:val="center"/>
        <w:rPr>
          <w:b/>
        </w:rPr>
      </w:pPr>
    </w:p>
    <w:p w:rsidR="00D670ED" w:rsidRPr="00E374EA" w:rsidRDefault="00D670ED" w:rsidP="00E374EA">
      <w:pPr>
        <w:jc w:val="center"/>
        <w:rPr>
          <w:b/>
        </w:rPr>
      </w:pPr>
    </w:p>
    <w:p w:rsidR="001C3D25" w:rsidRDefault="0037232D" w:rsidP="0037232D">
      <w:pPr>
        <w:pStyle w:val="ListParagraph"/>
        <w:numPr>
          <w:ilvl w:val="1"/>
          <w:numId w:val="1"/>
        </w:numPr>
      </w:pPr>
      <w:r>
        <w:t xml:space="preserve">One of four switchable gain stages is shown in </w:t>
      </w:r>
      <w:r w:rsidR="0058525D">
        <w:fldChar w:fldCharType="begin"/>
      </w:r>
      <w:r w:rsidR="00B543F8">
        <w:instrText xml:space="preserve"> REF _Ref264226072 \h </w:instrText>
      </w:r>
      <w:r w:rsidR="0058525D">
        <w:fldChar w:fldCharType="separate"/>
      </w:r>
      <w:r w:rsidR="00932ABA" w:rsidRPr="0037232D">
        <w:rPr>
          <w:color w:val="000000" w:themeColor="text1"/>
        </w:rPr>
        <w:t xml:space="preserve">Figure </w:t>
      </w:r>
      <w:r w:rsidR="00932ABA">
        <w:rPr>
          <w:noProof/>
          <w:color w:val="000000" w:themeColor="text1"/>
        </w:rPr>
        <w:t>3</w:t>
      </w:r>
      <w:r w:rsidR="0058525D">
        <w:fldChar w:fldCharType="end"/>
      </w:r>
      <w:r w:rsidR="008747A3">
        <w:t>(opamp is now OP27)</w:t>
      </w:r>
    </w:p>
    <w:p w:rsidR="0037232D" w:rsidRDefault="0037232D" w:rsidP="0037232D"/>
    <w:p w:rsidR="0037232D" w:rsidRPr="0037232D" w:rsidRDefault="0037232D" w:rsidP="0037232D">
      <w:pPr>
        <w:pStyle w:val="Caption"/>
        <w:keepNext/>
        <w:jc w:val="center"/>
        <w:rPr>
          <w:color w:val="000000" w:themeColor="text1"/>
        </w:rPr>
      </w:pPr>
      <w:bookmarkStart w:id="3" w:name="_Ref264226072"/>
      <w:r w:rsidRPr="0037232D">
        <w:rPr>
          <w:color w:val="000000" w:themeColor="text1"/>
        </w:rPr>
        <w:t xml:space="preserve">Figure </w:t>
      </w:r>
      <w:r w:rsidR="0058525D" w:rsidRPr="0037232D">
        <w:rPr>
          <w:color w:val="000000" w:themeColor="text1"/>
        </w:rPr>
        <w:fldChar w:fldCharType="begin"/>
      </w:r>
      <w:r w:rsidRPr="0037232D">
        <w:rPr>
          <w:color w:val="000000" w:themeColor="text1"/>
        </w:rPr>
        <w:instrText xml:space="preserve"> SEQ Figure \* ARABIC </w:instrText>
      </w:r>
      <w:r w:rsidR="0058525D" w:rsidRPr="0037232D">
        <w:rPr>
          <w:color w:val="000000" w:themeColor="text1"/>
        </w:rPr>
        <w:fldChar w:fldCharType="separate"/>
      </w:r>
      <w:r w:rsidR="00932ABA">
        <w:rPr>
          <w:noProof/>
          <w:color w:val="000000" w:themeColor="text1"/>
        </w:rPr>
        <w:t>3</w:t>
      </w:r>
      <w:r w:rsidR="0058525D" w:rsidRPr="0037232D">
        <w:rPr>
          <w:color w:val="000000" w:themeColor="text1"/>
        </w:rPr>
        <w:fldChar w:fldCharType="end"/>
      </w:r>
      <w:bookmarkEnd w:id="3"/>
      <w:r>
        <w:rPr>
          <w:color w:val="000000" w:themeColor="text1"/>
        </w:rPr>
        <w:t>, 4dB gain step circuit shown</w:t>
      </w:r>
    </w:p>
    <w:p w:rsidR="0037232D" w:rsidRDefault="008747A3" w:rsidP="0037232D">
      <w:pPr>
        <w:jc w:val="center"/>
      </w:pPr>
      <w:r>
        <w:rPr>
          <w:noProof/>
        </w:rPr>
        <w:drawing>
          <wp:inline distT="0" distB="0" distL="0" distR="0">
            <wp:extent cx="2743200" cy="298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980055"/>
                    </a:xfrm>
                    <a:prstGeom prst="rect">
                      <a:avLst/>
                    </a:prstGeom>
                    <a:noFill/>
                    <a:ln>
                      <a:noFill/>
                    </a:ln>
                  </pic:spPr>
                </pic:pic>
              </a:graphicData>
            </a:graphic>
          </wp:inline>
        </w:drawing>
      </w:r>
    </w:p>
    <w:p w:rsidR="0037232D" w:rsidRDefault="0037232D" w:rsidP="00B543F8">
      <w:pPr>
        <w:pStyle w:val="ListParagraph"/>
        <w:numPr>
          <w:ilvl w:val="1"/>
          <w:numId w:val="1"/>
        </w:numPr>
      </w:pPr>
      <w:r>
        <w:t xml:space="preserve">One of three switchable filter stages is shown in </w:t>
      </w:r>
      <w:r w:rsidR="0058525D">
        <w:fldChar w:fldCharType="begin"/>
      </w:r>
      <w:r>
        <w:instrText xml:space="preserve"> REF _Ref264225530 \h </w:instrText>
      </w:r>
      <w:r w:rsidR="0058525D">
        <w:fldChar w:fldCharType="separate"/>
      </w:r>
      <w:r w:rsidR="00932ABA" w:rsidRPr="0037232D">
        <w:rPr>
          <w:color w:val="000000" w:themeColor="text1"/>
        </w:rPr>
        <w:t xml:space="preserve">Figure </w:t>
      </w:r>
      <w:r w:rsidR="00932ABA">
        <w:rPr>
          <w:noProof/>
          <w:color w:val="000000" w:themeColor="text1"/>
        </w:rPr>
        <w:t>4</w:t>
      </w:r>
      <w:r w:rsidR="0058525D">
        <w:fldChar w:fldCharType="end"/>
      </w:r>
      <w:r w:rsidR="008747A3">
        <w:t xml:space="preserve"> (opamp is now OP27)</w:t>
      </w:r>
    </w:p>
    <w:p w:rsidR="0037232D" w:rsidRDefault="0037232D" w:rsidP="0037232D"/>
    <w:p w:rsidR="0037232D" w:rsidRPr="0037232D" w:rsidRDefault="0037232D" w:rsidP="0037232D">
      <w:pPr>
        <w:pStyle w:val="Caption"/>
        <w:keepNext/>
        <w:jc w:val="center"/>
        <w:rPr>
          <w:color w:val="000000" w:themeColor="text1"/>
        </w:rPr>
      </w:pPr>
      <w:bookmarkStart w:id="4" w:name="_Ref264225530"/>
      <w:r w:rsidRPr="0037232D">
        <w:rPr>
          <w:color w:val="000000" w:themeColor="text1"/>
        </w:rPr>
        <w:t xml:space="preserve">Figure </w:t>
      </w:r>
      <w:r w:rsidR="0058525D" w:rsidRPr="0037232D">
        <w:rPr>
          <w:color w:val="000000" w:themeColor="text1"/>
        </w:rPr>
        <w:fldChar w:fldCharType="begin"/>
      </w:r>
      <w:r w:rsidRPr="0037232D">
        <w:rPr>
          <w:color w:val="000000" w:themeColor="text1"/>
        </w:rPr>
        <w:instrText xml:space="preserve"> SEQ Figure \* ARABIC </w:instrText>
      </w:r>
      <w:r w:rsidR="0058525D" w:rsidRPr="0037232D">
        <w:rPr>
          <w:color w:val="000000" w:themeColor="text1"/>
        </w:rPr>
        <w:fldChar w:fldCharType="separate"/>
      </w:r>
      <w:r w:rsidR="00932ABA">
        <w:rPr>
          <w:noProof/>
          <w:color w:val="000000" w:themeColor="text1"/>
        </w:rPr>
        <w:t>4</w:t>
      </w:r>
      <w:r w:rsidR="0058525D" w:rsidRPr="0037232D">
        <w:rPr>
          <w:color w:val="000000" w:themeColor="text1"/>
        </w:rPr>
        <w:fldChar w:fldCharType="end"/>
      </w:r>
      <w:bookmarkEnd w:id="4"/>
    </w:p>
    <w:p w:rsidR="0037232D" w:rsidRDefault="0037232D" w:rsidP="0037232D">
      <w:pPr>
        <w:jc w:val="center"/>
      </w:pPr>
      <w:r>
        <w:rPr>
          <w:noProof/>
        </w:rPr>
        <w:drawing>
          <wp:inline distT="0" distB="0" distL="0" distR="0">
            <wp:extent cx="3828639" cy="2738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829549" cy="2739549"/>
                    </a:xfrm>
                    <a:prstGeom prst="rect">
                      <a:avLst/>
                    </a:prstGeom>
                    <a:noFill/>
                    <a:ln w="9525">
                      <a:noFill/>
                      <a:miter lim="800000"/>
                      <a:headEnd/>
                      <a:tailEnd/>
                    </a:ln>
                  </pic:spPr>
                </pic:pic>
              </a:graphicData>
            </a:graphic>
          </wp:inline>
        </w:drawing>
      </w:r>
    </w:p>
    <w:p w:rsidR="00B543F8" w:rsidRDefault="00B543F8" w:rsidP="0037232D">
      <w:pPr>
        <w:jc w:val="center"/>
      </w:pPr>
    </w:p>
    <w:p w:rsidR="00B543F8" w:rsidRDefault="00B543F8" w:rsidP="00B543F8">
      <w:pPr>
        <w:pStyle w:val="ListParagraph"/>
        <w:numPr>
          <w:ilvl w:val="1"/>
          <w:numId w:val="1"/>
        </w:numPr>
      </w:pPr>
      <w:r>
        <w:t xml:space="preserve">The transfer function of the filter stage is shown in </w:t>
      </w:r>
      <w:r w:rsidR="0058525D">
        <w:fldChar w:fldCharType="begin"/>
      </w:r>
      <w:r>
        <w:instrText xml:space="preserve"> REF _Ref264226053 \h </w:instrText>
      </w:r>
      <w:r w:rsidR="0058525D">
        <w:fldChar w:fldCharType="separate"/>
      </w:r>
      <w:r w:rsidR="00932ABA" w:rsidRPr="00B543F8">
        <w:rPr>
          <w:color w:val="000000" w:themeColor="text1"/>
        </w:rPr>
        <w:t xml:space="preserve">Figure </w:t>
      </w:r>
      <w:r w:rsidR="00932ABA">
        <w:rPr>
          <w:noProof/>
          <w:color w:val="000000" w:themeColor="text1"/>
        </w:rPr>
        <w:t>5</w:t>
      </w:r>
      <w:r w:rsidR="0058525D">
        <w:fldChar w:fldCharType="end"/>
      </w:r>
    </w:p>
    <w:p w:rsidR="00B543F8" w:rsidRDefault="00B543F8" w:rsidP="00B543F8"/>
    <w:p w:rsidR="00B543F8" w:rsidRDefault="00B543F8" w:rsidP="00B543F8"/>
    <w:p w:rsidR="00B543F8" w:rsidRPr="00B543F8" w:rsidRDefault="00B543F8" w:rsidP="00B543F8">
      <w:pPr>
        <w:pStyle w:val="Caption"/>
        <w:keepNext/>
        <w:jc w:val="center"/>
        <w:rPr>
          <w:color w:val="000000" w:themeColor="text1"/>
        </w:rPr>
      </w:pPr>
      <w:bookmarkStart w:id="5" w:name="_Ref264226053"/>
      <w:r w:rsidRPr="00B543F8">
        <w:rPr>
          <w:color w:val="000000" w:themeColor="text1"/>
        </w:rPr>
        <w:lastRenderedPageBreak/>
        <w:t xml:space="preserve">Figure </w:t>
      </w:r>
      <w:r w:rsidR="0058525D" w:rsidRPr="00B543F8">
        <w:rPr>
          <w:color w:val="000000" w:themeColor="text1"/>
        </w:rPr>
        <w:fldChar w:fldCharType="begin"/>
      </w:r>
      <w:r w:rsidRPr="00B543F8">
        <w:rPr>
          <w:color w:val="000000" w:themeColor="text1"/>
        </w:rPr>
        <w:instrText xml:space="preserve"> SEQ Figure \* ARABIC </w:instrText>
      </w:r>
      <w:r w:rsidR="0058525D" w:rsidRPr="00B543F8">
        <w:rPr>
          <w:color w:val="000000" w:themeColor="text1"/>
        </w:rPr>
        <w:fldChar w:fldCharType="separate"/>
      </w:r>
      <w:r w:rsidR="00932ABA">
        <w:rPr>
          <w:noProof/>
          <w:color w:val="000000" w:themeColor="text1"/>
        </w:rPr>
        <w:t>5</w:t>
      </w:r>
      <w:r w:rsidR="0058525D" w:rsidRPr="00B543F8">
        <w:rPr>
          <w:color w:val="000000" w:themeColor="text1"/>
        </w:rPr>
        <w:fldChar w:fldCharType="end"/>
      </w:r>
      <w:bookmarkEnd w:id="5"/>
      <w:r>
        <w:rPr>
          <w:color w:val="000000" w:themeColor="text1"/>
        </w:rPr>
        <w:t>, impossible to read transfer function</w:t>
      </w:r>
    </w:p>
    <w:p w:rsidR="00B543F8" w:rsidRDefault="00B543F8" w:rsidP="00B543F8">
      <w:pPr>
        <w:jc w:val="center"/>
      </w:pPr>
      <w:r>
        <w:rPr>
          <w:noProof/>
        </w:rPr>
        <w:drawing>
          <wp:inline distT="0" distB="0" distL="0" distR="0">
            <wp:extent cx="4631375" cy="3571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633785" cy="3573734"/>
                    </a:xfrm>
                    <a:prstGeom prst="rect">
                      <a:avLst/>
                    </a:prstGeom>
                    <a:noFill/>
                    <a:ln w="9525">
                      <a:noFill/>
                      <a:miter lim="800000"/>
                      <a:headEnd/>
                      <a:tailEnd/>
                    </a:ln>
                  </pic:spPr>
                </pic:pic>
              </a:graphicData>
            </a:graphic>
          </wp:inline>
        </w:drawing>
      </w:r>
    </w:p>
    <w:p w:rsidR="00B543F8" w:rsidRDefault="00B543F8" w:rsidP="00B543F8">
      <w:pPr>
        <w:jc w:val="center"/>
      </w:pPr>
    </w:p>
    <w:p w:rsidR="00B543F8" w:rsidRDefault="00511333" w:rsidP="00B543F8">
      <w:pPr>
        <w:pStyle w:val="ListParagraph"/>
        <w:numPr>
          <w:ilvl w:val="1"/>
          <w:numId w:val="1"/>
        </w:numPr>
      </w:pPr>
      <w:r>
        <w:t xml:space="preserve">Gain and filter control logic is shown in </w:t>
      </w:r>
      <w:r w:rsidR="0058525D">
        <w:fldChar w:fldCharType="begin"/>
      </w:r>
      <w:r>
        <w:instrText xml:space="preserve"> REF _Ref264226354 \h </w:instrText>
      </w:r>
      <w:r w:rsidR="0058525D">
        <w:fldChar w:fldCharType="separate"/>
      </w:r>
      <w:r w:rsidR="00932ABA" w:rsidRPr="00511333">
        <w:rPr>
          <w:color w:val="000000" w:themeColor="text1"/>
        </w:rPr>
        <w:t xml:space="preserve">Figure </w:t>
      </w:r>
      <w:r w:rsidR="00932ABA">
        <w:rPr>
          <w:noProof/>
          <w:color w:val="000000" w:themeColor="text1"/>
        </w:rPr>
        <w:t>6</w:t>
      </w:r>
      <w:r w:rsidR="0058525D">
        <w:fldChar w:fldCharType="end"/>
      </w:r>
      <w:r>
        <w:t>.  The voltage level shown as VCC is 5VDC</w:t>
      </w:r>
    </w:p>
    <w:p w:rsidR="00511333" w:rsidRDefault="00511333" w:rsidP="00511333"/>
    <w:p w:rsidR="00511333" w:rsidRDefault="00511333" w:rsidP="00511333"/>
    <w:p w:rsidR="00511333" w:rsidRPr="00511333" w:rsidRDefault="00511333" w:rsidP="00511333">
      <w:pPr>
        <w:pStyle w:val="Caption"/>
        <w:keepNext/>
        <w:jc w:val="center"/>
        <w:rPr>
          <w:color w:val="000000" w:themeColor="text1"/>
        </w:rPr>
      </w:pPr>
      <w:bookmarkStart w:id="6" w:name="_Ref264226354"/>
      <w:r w:rsidRPr="00511333">
        <w:rPr>
          <w:color w:val="000000" w:themeColor="text1"/>
        </w:rPr>
        <w:t xml:space="preserve">Figure </w:t>
      </w:r>
      <w:r w:rsidR="0058525D" w:rsidRPr="00511333">
        <w:rPr>
          <w:color w:val="000000" w:themeColor="text1"/>
        </w:rPr>
        <w:fldChar w:fldCharType="begin"/>
      </w:r>
      <w:r w:rsidRPr="00511333">
        <w:rPr>
          <w:color w:val="000000" w:themeColor="text1"/>
        </w:rPr>
        <w:instrText xml:space="preserve"> SEQ Figure \* ARABIC </w:instrText>
      </w:r>
      <w:r w:rsidR="0058525D" w:rsidRPr="00511333">
        <w:rPr>
          <w:color w:val="000000" w:themeColor="text1"/>
        </w:rPr>
        <w:fldChar w:fldCharType="separate"/>
      </w:r>
      <w:r w:rsidR="00932ABA">
        <w:rPr>
          <w:noProof/>
          <w:color w:val="000000" w:themeColor="text1"/>
        </w:rPr>
        <w:t>6</w:t>
      </w:r>
      <w:r w:rsidR="0058525D" w:rsidRPr="00511333">
        <w:rPr>
          <w:color w:val="000000" w:themeColor="text1"/>
        </w:rPr>
        <w:fldChar w:fldCharType="end"/>
      </w:r>
      <w:bookmarkEnd w:id="6"/>
    </w:p>
    <w:p w:rsidR="00511333" w:rsidRDefault="00511333" w:rsidP="00511333">
      <w:pPr>
        <w:jc w:val="center"/>
      </w:pPr>
      <w:r>
        <w:rPr>
          <w:noProof/>
        </w:rPr>
        <w:drawing>
          <wp:inline distT="0" distB="0" distL="0" distR="0">
            <wp:extent cx="4310743" cy="2939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309244" cy="2938429"/>
                    </a:xfrm>
                    <a:prstGeom prst="rect">
                      <a:avLst/>
                    </a:prstGeom>
                    <a:noFill/>
                    <a:ln w="9525">
                      <a:noFill/>
                      <a:miter lim="800000"/>
                      <a:headEnd/>
                      <a:tailEnd/>
                    </a:ln>
                  </pic:spPr>
                </pic:pic>
              </a:graphicData>
            </a:graphic>
          </wp:inline>
        </w:drawing>
      </w:r>
    </w:p>
    <w:p w:rsidR="00E74588" w:rsidRDefault="00E74588" w:rsidP="00511333">
      <w:pPr>
        <w:jc w:val="center"/>
      </w:pPr>
    </w:p>
    <w:p w:rsidR="00511333" w:rsidRDefault="00511333" w:rsidP="00511333">
      <w:pPr>
        <w:pStyle w:val="ListParagraph"/>
        <w:numPr>
          <w:ilvl w:val="1"/>
          <w:numId w:val="1"/>
        </w:numPr>
      </w:pPr>
      <w:r>
        <w:lastRenderedPageBreak/>
        <w:t xml:space="preserve">The differential output drive circuit is shown in </w:t>
      </w:r>
      <w:r w:rsidR="0058525D">
        <w:fldChar w:fldCharType="begin"/>
      </w:r>
      <w:r>
        <w:instrText xml:space="preserve"> REF _Ref264226651 \h </w:instrText>
      </w:r>
      <w:r w:rsidR="0058525D">
        <w:fldChar w:fldCharType="separate"/>
      </w:r>
      <w:r w:rsidR="00932ABA" w:rsidRPr="00511333">
        <w:rPr>
          <w:color w:val="000000" w:themeColor="text1"/>
        </w:rPr>
        <w:t xml:space="preserve">Figure </w:t>
      </w:r>
      <w:r w:rsidR="00932ABA">
        <w:rPr>
          <w:noProof/>
          <w:color w:val="000000" w:themeColor="text1"/>
        </w:rPr>
        <w:t>7</w:t>
      </w:r>
      <w:r w:rsidR="0058525D">
        <w:fldChar w:fldCharType="end"/>
      </w:r>
    </w:p>
    <w:p w:rsidR="00511333" w:rsidRDefault="00511333" w:rsidP="00511333"/>
    <w:p w:rsidR="00511333" w:rsidRPr="00511333" w:rsidRDefault="00511333" w:rsidP="00511333">
      <w:pPr>
        <w:pStyle w:val="Caption"/>
        <w:keepNext/>
        <w:jc w:val="center"/>
        <w:rPr>
          <w:color w:val="000000" w:themeColor="text1"/>
        </w:rPr>
      </w:pPr>
      <w:bookmarkStart w:id="7" w:name="_Ref264226651"/>
      <w:r w:rsidRPr="00511333">
        <w:rPr>
          <w:color w:val="000000" w:themeColor="text1"/>
        </w:rPr>
        <w:t xml:space="preserve">Figure </w:t>
      </w:r>
      <w:r w:rsidR="0058525D" w:rsidRPr="00511333">
        <w:rPr>
          <w:color w:val="000000" w:themeColor="text1"/>
        </w:rPr>
        <w:fldChar w:fldCharType="begin"/>
      </w:r>
      <w:r w:rsidRPr="00511333">
        <w:rPr>
          <w:color w:val="000000" w:themeColor="text1"/>
        </w:rPr>
        <w:instrText xml:space="preserve"> SEQ Figure \* ARABIC </w:instrText>
      </w:r>
      <w:r w:rsidR="0058525D" w:rsidRPr="00511333">
        <w:rPr>
          <w:color w:val="000000" w:themeColor="text1"/>
        </w:rPr>
        <w:fldChar w:fldCharType="separate"/>
      </w:r>
      <w:r w:rsidR="00932ABA">
        <w:rPr>
          <w:noProof/>
          <w:color w:val="000000" w:themeColor="text1"/>
        </w:rPr>
        <w:t>7</w:t>
      </w:r>
      <w:r w:rsidR="0058525D" w:rsidRPr="00511333">
        <w:rPr>
          <w:color w:val="000000" w:themeColor="text1"/>
        </w:rPr>
        <w:fldChar w:fldCharType="end"/>
      </w:r>
      <w:bookmarkEnd w:id="7"/>
    </w:p>
    <w:p w:rsidR="00511333" w:rsidRDefault="00511333" w:rsidP="00511333">
      <w:pPr>
        <w:jc w:val="center"/>
      </w:pPr>
      <w:r>
        <w:rPr>
          <w:noProof/>
        </w:rPr>
        <w:drawing>
          <wp:inline distT="0" distB="0" distL="0" distR="0">
            <wp:extent cx="3819525"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819525" cy="2743200"/>
                    </a:xfrm>
                    <a:prstGeom prst="rect">
                      <a:avLst/>
                    </a:prstGeom>
                    <a:noFill/>
                    <a:ln w="9525">
                      <a:noFill/>
                      <a:miter lim="800000"/>
                      <a:headEnd/>
                      <a:tailEnd/>
                    </a:ln>
                  </pic:spPr>
                </pic:pic>
              </a:graphicData>
            </a:graphic>
          </wp:inline>
        </w:drawing>
      </w:r>
    </w:p>
    <w:p w:rsidR="00386C8D" w:rsidRDefault="00386C8D" w:rsidP="00511333">
      <w:pPr>
        <w:jc w:val="center"/>
      </w:pPr>
    </w:p>
    <w:p w:rsidR="00386C8D" w:rsidRDefault="00386C8D">
      <w:pPr>
        <w:spacing w:after="200" w:line="276" w:lineRule="auto"/>
      </w:pPr>
    </w:p>
    <w:p w:rsidR="00386C8D" w:rsidRDefault="00386C8D" w:rsidP="00386C8D">
      <w:pPr>
        <w:pStyle w:val="ListParagraph"/>
        <w:numPr>
          <w:ilvl w:val="1"/>
          <w:numId w:val="1"/>
        </w:numPr>
      </w:pPr>
      <w:r>
        <w:t xml:space="preserve">The product perspective for the ISC whitening board is shown in </w:t>
      </w:r>
      <w:r w:rsidR="0058525D">
        <w:fldChar w:fldCharType="begin"/>
      </w:r>
      <w:r>
        <w:instrText xml:space="preserve"> REF _Ref264276492 \h </w:instrText>
      </w:r>
      <w:r w:rsidR="0058525D">
        <w:fldChar w:fldCharType="separate"/>
      </w:r>
      <w:r w:rsidR="00932ABA" w:rsidRPr="00386C8D">
        <w:rPr>
          <w:color w:val="000000" w:themeColor="text1"/>
        </w:rPr>
        <w:t xml:space="preserve">Figure </w:t>
      </w:r>
      <w:r w:rsidR="00932ABA">
        <w:rPr>
          <w:noProof/>
          <w:color w:val="000000" w:themeColor="text1"/>
        </w:rPr>
        <w:t>8</w:t>
      </w:r>
      <w:r w:rsidR="0058525D">
        <w:fldChar w:fldCharType="end"/>
      </w:r>
      <w:r>
        <w:t>.  Two whitening boards will be mounted in a single 1U chassis such that a single whitening chassis serves a single RF demodulator chassis.</w:t>
      </w:r>
    </w:p>
    <w:p w:rsidR="00386C8D" w:rsidRDefault="00386C8D" w:rsidP="00386C8D"/>
    <w:p w:rsidR="00386C8D" w:rsidRDefault="00386C8D" w:rsidP="00386C8D"/>
    <w:p w:rsidR="00386C8D" w:rsidRPr="00386C8D" w:rsidRDefault="00386C8D" w:rsidP="00386C8D">
      <w:pPr>
        <w:pStyle w:val="Caption"/>
        <w:keepNext/>
        <w:jc w:val="center"/>
        <w:rPr>
          <w:color w:val="000000" w:themeColor="text1"/>
        </w:rPr>
      </w:pPr>
      <w:bookmarkStart w:id="8" w:name="_Ref264276492"/>
      <w:r w:rsidRPr="00386C8D">
        <w:rPr>
          <w:color w:val="000000" w:themeColor="text1"/>
        </w:rPr>
        <w:t xml:space="preserve">Figure </w:t>
      </w:r>
      <w:r w:rsidR="0058525D" w:rsidRPr="00386C8D">
        <w:rPr>
          <w:color w:val="000000" w:themeColor="text1"/>
        </w:rPr>
        <w:fldChar w:fldCharType="begin"/>
      </w:r>
      <w:r w:rsidRPr="00386C8D">
        <w:rPr>
          <w:color w:val="000000" w:themeColor="text1"/>
        </w:rPr>
        <w:instrText xml:space="preserve"> SEQ Figure \* ARABIC </w:instrText>
      </w:r>
      <w:r w:rsidR="0058525D" w:rsidRPr="00386C8D">
        <w:rPr>
          <w:color w:val="000000" w:themeColor="text1"/>
        </w:rPr>
        <w:fldChar w:fldCharType="separate"/>
      </w:r>
      <w:r w:rsidR="00932ABA">
        <w:rPr>
          <w:noProof/>
          <w:color w:val="000000" w:themeColor="text1"/>
        </w:rPr>
        <w:t>8</w:t>
      </w:r>
      <w:r w:rsidR="0058525D" w:rsidRPr="00386C8D">
        <w:rPr>
          <w:color w:val="000000" w:themeColor="text1"/>
        </w:rPr>
        <w:fldChar w:fldCharType="end"/>
      </w:r>
      <w:bookmarkEnd w:id="8"/>
    </w:p>
    <w:p w:rsidR="00386C8D" w:rsidRDefault="00D670ED" w:rsidP="00511333">
      <w:pPr>
        <w:jc w:val="center"/>
      </w:pPr>
      <w:r>
        <w:rPr>
          <w:noProof/>
        </w:rPr>
        <w:drawing>
          <wp:inline distT="0" distB="0" distL="0" distR="0">
            <wp:extent cx="5943600" cy="31587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3158734"/>
                    </a:xfrm>
                    <a:prstGeom prst="rect">
                      <a:avLst/>
                    </a:prstGeom>
                    <a:noFill/>
                    <a:ln w="9525">
                      <a:noFill/>
                      <a:miter lim="800000"/>
                      <a:headEnd/>
                      <a:tailEnd/>
                    </a:ln>
                  </pic:spPr>
                </pic:pic>
              </a:graphicData>
            </a:graphic>
          </wp:inline>
        </w:drawing>
      </w:r>
    </w:p>
    <w:sectPr w:rsidR="00386C8D" w:rsidSect="00E0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E6"/>
    <w:multiLevelType w:val="hybridMultilevel"/>
    <w:tmpl w:val="F51C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850FC"/>
    <w:multiLevelType w:val="hybridMultilevel"/>
    <w:tmpl w:val="16680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956D75"/>
    <w:multiLevelType w:val="hybridMultilevel"/>
    <w:tmpl w:val="C2442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E4"/>
    <w:rsid w:val="000D7C96"/>
    <w:rsid w:val="000F66C6"/>
    <w:rsid w:val="002A7C65"/>
    <w:rsid w:val="002C32BA"/>
    <w:rsid w:val="00364159"/>
    <w:rsid w:val="0037232D"/>
    <w:rsid w:val="00386C8D"/>
    <w:rsid w:val="003F54D0"/>
    <w:rsid w:val="00400912"/>
    <w:rsid w:val="00401445"/>
    <w:rsid w:val="00505794"/>
    <w:rsid w:val="00511333"/>
    <w:rsid w:val="0058525D"/>
    <w:rsid w:val="005A6668"/>
    <w:rsid w:val="00605FF5"/>
    <w:rsid w:val="006849E4"/>
    <w:rsid w:val="00685AD6"/>
    <w:rsid w:val="00776058"/>
    <w:rsid w:val="008747A3"/>
    <w:rsid w:val="00892C50"/>
    <w:rsid w:val="00906FB7"/>
    <w:rsid w:val="00932ABA"/>
    <w:rsid w:val="009C2A01"/>
    <w:rsid w:val="00B07E8E"/>
    <w:rsid w:val="00B543F8"/>
    <w:rsid w:val="00B7106F"/>
    <w:rsid w:val="00B94E03"/>
    <w:rsid w:val="00BB6DD8"/>
    <w:rsid w:val="00CA559C"/>
    <w:rsid w:val="00CD2634"/>
    <w:rsid w:val="00D670ED"/>
    <w:rsid w:val="00E050E9"/>
    <w:rsid w:val="00E374EA"/>
    <w:rsid w:val="00E74588"/>
    <w:rsid w:val="00F06F76"/>
    <w:rsid w:val="00F3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E4"/>
    <w:pPr>
      <w:ind w:left="720"/>
      <w:contextualSpacing/>
    </w:pPr>
  </w:style>
  <w:style w:type="table" w:styleId="TableGrid">
    <w:name w:val="Table Grid"/>
    <w:basedOn w:val="TableNormal"/>
    <w:uiPriority w:val="59"/>
    <w:rsid w:val="002A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92C5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374EA"/>
    <w:rPr>
      <w:rFonts w:ascii="Tahoma" w:hAnsi="Tahoma" w:cs="Tahoma"/>
      <w:sz w:val="16"/>
      <w:szCs w:val="16"/>
    </w:rPr>
  </w:style>
  <w:style w:type="character" w:customStyle="1" w:styleId="BalloonTextChar">
    <w:name w:val="Balloon Text Char"/>
    <w:basedOn w:val="DefaultParagraphFont"/>
    <w:link w:val="BalloonText"/>
    <w:uiPriority w:val="99"/>
    <w:semiHidden/>
    <w:rsid w:val="00E374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E4"/>
    <w:pPr>
      <w:ind w:left="720"/>
      <w:contextualSpacing/>
    </w:pPr>
  </w:style>
  <w:style w:type="table" w:styleId="TableGrid">
    <w:name w:val="Table Grid"/>
    <w:basedOn w:val="TableNormal"/>
    <w:uiPriority w:val="59"/>
    <w:rsid w:val="002A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92C5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E374EA"/>
    <w:rPr>
      <w:rFonts w:ascii="Tahoma" w:hAnsi="Tahoma" w:cs="Tahoma"/>
      <w:sz w:val="16"/>
      <w:szCs w:val="16"/>
    </w:rPr>
  </w:style>
  <w:style w:type="character" w:customStyle="1" w:styleId="BalloonTextChar">
    <w:name w:val="Balloon Text Char"/>
    <w:basedOn w:val="DefaultParagraphFont"/>
    <w:link w:val="BalloonText"/>
    <w:uiPriority w:val="99"/>
    <w:semiHidden/>
    <w:rsid w:val="00E37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Abbott</dc:creator>
  <cp:lastModifiedBy>Rich Abbott</cp:lastModifiedBy>
  <cp:revision>2</cp:revision>
  <cp:lastPrinted>2010-06-14T23:35:00Z</cp:lastPrinted>
  <dcterms:created xsi:type="dcterms:W3CDTF">2014-03-25T20:07:00Z</dcterms:created>
  <dcterms:modified xsi:type="dcterms:W3CDTF">2014-03-25T20:07:00Z</dcterms:modified>
</cp:coreProperties>
</file>