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D2101" w14:textId="77777777" w:rsidR="005F48B2" w:rsidRDefault="005F48B2" w:rsidP="005449AA">
      <w:pPr>
        <w:pStyle w:val="PlainText"/>
        <w:jc w:val="left"/>
        <w:rPr>
          <w:i/>
          <w:sz w:val="36"/>
        </w:rPr>
      </w:pPr>
    </w:p>
    <w:p w14:paraId="3A681149" w14:textId="77777777" w:rsidR="005F48B2" w:rsidRDefault="005F48B2" w:rsidP="000745A1">
      <w:pPr>
        <w:pStyle w:val="PlainText"/>
        <w:jc w:val="center"/>
        <w:rPr>
          <w:i/>
          <w:sz w:val="36"/>
        </w:rPr>
      </w:pPr>
      <w:r>
        <w:rPr>
          <w:i/>
          <w:sz w:val="36"/>
        </w:rPr>
        <w:t>LIGO Laboratory / LIGO Scientific Collaboration</w:t>
      </w:r>
    </w:p>
    <w:p w14:paraId="456BE2FA" w14:textId="77777777" w:rsidR="005F48B2" w:rsidRDefault="005F48B2" w:rsidP="000745A1">
      <w:pPr>
        <w:pStyle w:val="PlainText"/>
        <w:jc w:val="center"/>
        <w:rPr>
          <w:sz w:val="36"/>
        </w:rPr>
      </w:pPr>
    </w:p>
    <w:p w14:paraId="56EF7945" w14:textId="77777777" w:rsidR="005F48B2" w:rsidRDefault="005F48B2" w:rsidP="000745A1">
      <w:pPr>
        <w:pStyle w:val="PlainText"/>
        <w:jc w:val="center"/>
        <w:rPr>
          <w:sz w:val="36"/>
        </w:rPr>
      </w:pPr>
    </w:p>
    <w:p w14:paraId="3C0C2DD9" w14:textId="7C47B87A" w:rsidR="005F48B2" w:rsidRDefault="005F48B2" w:rsidP="00353619">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center"/>
      </w:pPr>
      <w:r>
        <w:t>LIGO-T</w:t>
      </w:r>
      <w:r w:rsidR="00380E7F">
        <w:t>1100068</w:t>
      </w:r>
      <w:r w:rsidR="00F5292B">
        <w:t>-</w:t>
      </w:r>
      <w:r w:rsidR="00520165">
        <w:t>v1</w:t>
      </w:r>
      <w:r w:rsidR="00A36330">
        <w:t>7</w:t>
      </w:r>
      <w:r>
        <w:tab/>
      </w:r>
      <w:r w:rsidR="007E78E1">
        <w:rPr>
          <w:rFonts w:ascii="Times" w:hAnsi="Times"/>
          <w:i/>
          <w:iCs/>
          <w:color w:val="0000FF"/>
          <w:sz w:val="40"/>
        </w:rPr>
        <w:t xml:space="preserve">Advanced </w:t>
      </w:r>
      <w:r w:rsidR="00084A5D">
        <w:rPr>
          <w:rFonts w:ascii="Times" w:hAnsi="Times"/>
          <w:i/>
          <w:iCs/>
          <w:color w:val="0000FF"/>
          <w:sz w:val="40"/>
        </w:rPr>
        <w:t>LIGO</w:t>
      </w:r>
      <w:r>
        <w:tab/>
      </w:r>
      <w:r w:rsidR="00A36330">
        <w:t>March</w:t>
      </w:r>
      <w:r w:rsidR="009E423B">
        <w:t xml:space="preserve"> </w:t>
      </w:r>
      <w:r w:rsidR="00A36330">
        <w:t>2</w:t>
      </w:r>
      <w:r w:rsidR="00353619">
        <w:t>8</w:t>
      </w:r>
      <w:r w:rsidR="00A9463B">
        <w:t>, 2012</w:t>
      </w:r>
      <w:r w:rsidR="00E57C6B">
        <w:pict w14:anchorId="68473E4F">
          <v:rect id="_x0000_i1025" style="width:0;height:1.5pt" o:hralign="center" o:hrstd="t" o:hr="t" fillcolor="gray" stroked="f"/>
        </w:pict>
      </w:r>
    </w:p>
    <w:p w14:paraId="3A47B93F" w14:textId="0DBBD91A" w:rsidR="005F48B2" w:rsidRDefault="00380E7F" w:rsidP="000745A1">
      <w:pPr>
        <w:pStyle w:val="BodyText"/>
        <w:pBdr>
          <w:top w:val="threeDEmboss" w:sz="24" w:space="1" w:color="auto"/>
          <w:left w:val="threeDEmboss" w:sz="24" w:space="4" w:color="auto"/>
          <w:bottom w:val="threeDEmboss" w:sz="24" w:space="1" w:color="auto"/>
          <w:right w:val="threeDEmboss" w:sz="24" w:space="4" w:color="auto"/>
        </w:pBdr>
      </w:pPr>
      <w:r>
        <w:t xml:space="preserve">Photon Calibrator </w:t>
      </w:r>
      <w:r w:rsidR="00520165">
        <w:t>Final</w:t>
      </w:r>
      <w:r>
        <w:t xml:space="preserve"> Design</w:t>
      </w:r>
    </w:p>
    <w:p w14:paraId="6C9A7070" w14:textId="77777777" w:rsidR="005F48B2" w:rsidRDefault="00E57C6B" w:rsidP="000745A1">
      <w:pPr>
        <w:pBdr>
          <w:top w:val="threeDEmboss" w:sz="24" w:space="1" w:color="auto"/>
          <w:left w:val="threeDEmboss" w:sz="24" w:space="4" w:color="auto"/>
          <w:bottom w:val="threeDEmboss" w:sz="24" w:space="1" w:color="auto"/>
          <w:right w:val="threeDEmboss" w:sz="24" w:space="4" w:color="auto"/>
        </w:pBdr>
        <w:jc w:val="center"/>
      </w:pPr>
      <w:r>
        <w:pict w14:anchorId="102E4707">
          <v:rect id="_x0000_i1026" style="width:0;height:1.5pt" o:hralign="center" o:hrstd="t" o:hr="t" fillcolor="gray" stroked="f"/>
        </w:pict>
      </w:r>
    </w:p>
    <w:p w14:paraId="7BD86E9F" w14:textId="39781194" w:rsidR="005F48B2" w:rsidRDefault="00380E7F" w:rsidP="000745A1">
      <w:pPr>
        <w:pBdr>
          <w:top w:val="threeDEmboss" w:sz="24" w:space="1" w:color="auto"/>
          <w:left w:val="threeDEmboss" w:sz="24" w:space="4" w:color="auto"/>
          <w:bottom w:val="threeDEmboss" w:sz="24" w:space="1" w:color="auto"/>
          <w:right w:val="threeDEmboss" w:sz="24" w:space="4" w:color="auto"/>
        </w:pBdr>
        <w:jc w:val="center"/>
      </w:pPr>
      <w:r>
        <w:t>Jonathan Berliner, Rick Savage</w:t>
      </w:r>
    </w:p>
    <w:p w14:paraId="3918C65E" w14:textId="77777777" w:rsidR="005F48B2" w:rsidRDefault="005F48B2" w:rsidP="000745A1">
      <w:pPr>
        <w:pStyle w:val="PlainText"/>
        <w:spacing w:before="0"/>
        <w:jc w:val="center"/>
      </w:pPr>
    </w:p>
    <w:p w14:paraId="067EE0B0" w14:textId="77777777" w:rsidR="005F48B2" w:rsidRDefault="005F48B2" w:rsidP="000745A1">
      <w:pPr>
        <w:pStyle w:val="PlainText"/>
        <w:spacing w:before="0"/>
        <w:jc w:val="center"/>
      </w:pPr>
      <w:r>
        <w:t>Distribution of this document:</w:t>
      </w:r>
    </w:p>
    <w:p w14:paraId="4C7E7FED" w14:textId="77777777" w:rsidR="005F48B2" w:rsidRDefault="00E66298" w:rsidP="000745A1">
      <w:pPr>
        <w:pStyle w:val="PlainText"/>
        <w:spacing w:before="0"/>
        <w:jc w:val="center"/>
      </w:pPr>
      <w:r>
        <w:t>LIGO Scientific</w:t>
      </w:r>
      <w:r w:rsidR="005F48B2">
        <w:t xml:space="preserve"> Collaboration</w:t>
      </w:r>
    </w:p>
    <w:p w14:paraId="2BFE8595" w14:textId="77777777" w:rsidR="005F48B2" w:rsidRDefault="005F48B2" w:rsidP="000745A1">
      <w:pPr>
        <w:pStyle w:val="PlainText"/>
        <w:spacing w:before="0"/>
        <w:jc w:val="center"/>
      </w:pPr>
    </w:p>
    <w:p w14:paraId="5E5780D7" w14:textId="77777777" w:rsidR="005F48B2" w:rsidRDefault="005F48B2" w:rsidP="000745A1">
      <w:pPr>
        <w:pStyle w:val="PlainText"/>
        <w:spacing w:before="0"/>
        <w:jc w:val="center"/>
      </w:pPr>
      <w:r>
        <w:t>This is an internal working note</w:t>
      </w:r>
    </w:p>
    <w:p w14:paraId="5DF69E88" w14:textId="77777777" w:rsidR="005F48B2" w:rsidRDefault="00E66298" w:rsidP="000745A1">
      <w:pPr>
        <w:pStyle w:val="PlainText"/>
        <w:spacing w:before="0"/>
        <w:jc w:val="center"/>
      </w:pPr>
      <w:proofErr w:type="gramStart"/>
      <w:r>
        <w:t>of</w:t>
      </w:r>
      <w:proofErr w:type="gramEnd"/>
      <w:r>
        <w:t xml:space="preserve"> the LIGO Laboratory</w:t>
      </w:r>
      <w:r w:rsidR="005F48B2">
        <w:t>.</w:t>
      </w:r>
    </w:p>
    <w:p w14:paraId="592CACDC" w14:textId="77777777" w:rsidR="005F48B2" w:rsidRDefault="005F48B2" w:rsidP="000745A1">
      <w:pPr>
        <w:pStyle w:val="PlainText"/>
        <w:spacing w:before="0"/>
        <w:jc w:val="center"/>
      </w:pPr>
    </w:p>
    <w:tbl>
      <w:tblPr>
        <w:tblW w:w="0" w:type="auto"/>
        <w:tblLook w:val="0000" w:firstRow="0" w:lastRow="0" w:firstColumn="0" w:lastColumn="0" w:noHBand="0" w:noVBand="0"/>
      </w:tblPr>
      <w:tblGrid>
        <w:gridCol w:w="4903"/>
        <w:gridCol w:w="4903"/>
      </w:tblGrid>
      <w:tr w:rsidR="005F48B2" w14:paraId="5DB34F3B" w14:textId="77777777">
        <w:tc>
          <w:tcPr>
            <w:tcW w:w="4909" w:type="dxa"/>
          </w:tcPr>
          <w:p w14:paraId="21F04B84" w14:textId="77777777" w:rsidR="005F48B2" w:rsidRDefault="005F48B2" w:rsidP="000745A1">
            <w:pPr>
              <w:pStyle w:val="PlainText"/>
              <w:spacing w:before="0"/>
              <w:jc w:val="center"/>
              <w:rPr>
                <w:b/>
                <w:bCs/>
                <w:color w:val="808080"/>
              </w:rPr>
            </w:pPr>
            <w:r>
              <w:rPr>
                <w:b/>
                <w:bCs/>
                <w:color w:val="808080"/>
              </w:rPr>
              <w:t>California Institute of Technology</w:t>
            </w:r>
          </w:p>
          <w:p w14:paraId="1A8DC765" w14:textId="77777777" w:rsidR="005F48B2" w:rsidRDefault="005F48B2" w:rsidP="000745A1">
            <w:pPr>
              <w:pStyle w:val="PlainText"/>
              <w:spacing w:before="0"/>
              <w:jc w:val="center"/>
              <w:rPr>
                <w:b/>
                <w:bCs/>
                <w:color w:val="808080"/>
              </w:rPr>
            </w:pPr>
            <w:r>
              <w:rPr>
                <w:b/>
                <w:bCs/>
                <w:color w:val="808080"/>
              </w:rPr>
              <w:t>LIGO Project – MS 18-34</w:t>
            </w:r>
          </w:p>
          <w:p w14:paraId="4C272942" w14:textId="77777777" w:rsidR="005F48B2" w:rsidRPr="005F48B2" w:rsidRDefault="005F48B2" w:rsidP="000745A1">
            <w:pPr>
              <w:pStyle w:val="PlainText"/>
              <w:spacing w:before="0"/>
              <w:jc w:val="center"/>
              <w:rPr>
                <w:b/>
                <w:bCs/>
                <w:color w:val="808080"/>
                <w:lang w:val="it-IT"/>
              </w:rPr>
            </w:pPr>
            <w:r w:rsidRPr="005F48B2">
              <w:rPr>
                <w:b/>
                <w:bCs/>
                <w:color w:val="808080"/>
                <w:lang w:val="it-IT"/>
              </w:rPr>
              <w:t>1200 E. California Blvd.</w:t>
            </w:r>
          </w:p>
          <w:p w14:paraId="1566B254" w14:textId="77777777" w:rsidR="005F48B2" w:rsidRPr="005F48B2" w:rsidRDefault="005F48B2" w:rsidP="000745A1">
            <w:pPr>
              <w:pStyle w:val="PlainText"/>
              <w:spacing w:before="0"/>
              <w:jc w:val="center"/>
              <w:rPr>
                <w:b/>
                <w:bCs/>
                <w:color w:val="808080"/>
                <w:lang w:val="it-IT"/>
              </w:rPr>
            </w:pPr>
            <w:r w:rsidRPr="005F48B2">
              <w:rPr>
                <w:b/>
                <w:bCs/>
                <w:color w:val="808080"/>
                <w:lang w:val="it-IT"/>
              </w:rPr>
              <w:t>Pasadena, CA 91125</w:t>
            </w:r>
          </w:p>
          <w:p w14:paraId="1FD402D4" w14:textId="77777777" w:rsidR="005F48B2" w:rsidRPr="005F48B2" w:rsidRDefault="005F48B2" w:rsidP="000745A1">
            <w:pPr>
              <w:pStyle w:val="PlainText"/>
              <w:spacing w:before="0"/>
              <w:jc w:val="center"/>
              <w:rPr>
                <w:color w:val="808080"/>
                <w:lang w:val="it-IT"/>
              </w:rPr>
            </w:pPr>
            <w:r w:rsidRPr="005F48B2">
              <w:rPr>
                <w:color w:val="808080"/>
                <w:lang w:val="it-IT"/>
              </w:rPr>
              <w:t>Phone (626) 395-2129</w:t>
            </w:r>
          </w:p>
          <w:p w14:paraId="237D4F57" w14:textId="77777777" w:rsidR="005F48B2" w:rsidRPr="005F48B2" w:rsidRDefault="005F48B2" w:rsidP="000745A1">
            <w:pPr>
              <w:pStyle w:val="PlainText"/>
              <w:spacing w:before="0"/>
              <w:jc w:val="center"/>
              <w:rPr>
                <w:color w:val="808080"/>
                <w:lang w:val="it-IT"/>
              </w:rPr>
            </w:pPr>
            <w:r w:rsidRPr="005F48B2">
              <w:rPr>
                <w:color w:val="808080"/>
                <w:lang w:val="it-IT"/>
              </w:rPr>
              <w:t>Fax (626) 304-9834</w:t>
            </w:r>
          </w:p>
          <w:p w14:paraId="19598BA8" w14:textId="083C872D" w:rsidR="005F48B2" w:rsidRPr="005F48B2" w:rsidRDefault="005F48B2" w:rsidP="000745A1">
            <w:pPr>
              <w:pStyle w:val="PlainText"/>
              <w:spacing w:before="0"/>
              <w:jc w:val="center"/>
              <w:rPr>
                <w:color w:val="808080"/>
                <w:lang w:val="it-IT"/>
              </w:rPr>
            </w:pPr>
            <w:r w:rsidRPr="005F48B2">
              <w:rPr>
                <w:color w:val="808080"/>
                <w:lang w:val="it-IT"/>
              </w:rPr>
              <w:t xml:space="preserve">E-mail: </w:t>
            </w:r>
            <w:hyperlink r:id="rId9" w:history="1">
              <w:r w:rsidRPr="00587847">
                <w:rPr>
                  <w:rStyle w:val="Hyperlink"/>
                  <w:lang w:val="it-IT"/>
                </w:rPr>
                <w:t>info@ligo.caltech.edu</w:t>
              </w:r>
            </w:hyperlink>
          </w:p>
        </w:tc>
        <w:tc>
          <w:tcPr>
            <w:tcW w:w="4909" w:type="dxa"/>
          </w:tcPr>
          <w:p w14:paraId="1B4F77B6" w14:textId="77777777" w:rsidR="005F48B2" w:rsidRDefault="005F48B2" w:rsidP="000745A1">
            <w:pPr>
              <w:pStyle w:val="PlainText"/>
              <w:spacing w:before="0"/>
              <w:jc w:val="center"/>
              <w:rPr>
                <w:b/>
                <w:bCs/>
                <w:color w:val="808080"/>
              </w:rPr>
            </w:pPr>
            <w:r>
              <w:rPr>
                <w:b/>
                <w:bCs/>
                <w:color w:val="808080"/>
              </w:rPr>
              <w:t>Massachusetts Institute of Technology</w:t>
            </w:r>
          </w:p>
          <w:p w14:paraId="52B04620" w14:textId="77777777" w:rsidR="005F48B2" w:rsidRDefault="00E66298" w:rsidP="000745A1">
            <w:pPr>
              <w:pStyle w:val="PlainText"/>
              <w:spacing w:before="0"/>
              <w:jc w:val="center"/>
              <w:rPr>
                <w:b/>
                <w:bCs/>
                <w:color w:val="808080"/>
              </w:rPr>
            </w:pPr>
            <w:r>
              <w:rPr>
                <w:b/>
                <w:bCs/>
                <w:color w:val="808080"/>
              </w:rPr>
              <w:t>LIGO Project – NW22-295</w:t>
            </w:r>
          </w:p>
          <w:p w14:paraId="4F7F1EA1" w14:textId="77777777" w:rsidR="005F48B2" w:rsidRDefault="00E66298" w:rsidP="000745A1">
            <w:pPr>
              <w:pStyle w:val="PlainText"/>
              <w:spacing w:before="0"/>
              <w:jc w:val="center"/>
              <w:rPr>
                <w:b/>
                <w:bCs/>
                <w:color w:val="808080"/>
              </w:rPr>
            </w:pPr>
            <w:r>
              <w:rPr>
                <w:b/>
                <w:bCs/>
                <w:color w:val="808080"/>
              </w:rPr>
              <w:t>18</w:t>
            </w:r>
            <w:r w:rsidR="005F48B2">
              <w:rPr>
                <w:b/>
                <w:bCs/>
                <w:color w:val="808080"/>
              </w:rPr>
              <w:t>5 Albany St</w:t>
            </w:r>
          </w:p>
          <w:p w14:paraId="5AC6DAA2" w14:textId="77777777" w:rsidR="005F48B2" w:rsidRDefault="005F48B2" w:rsidP="000745A1">
            <w:pPr>
              <w:pStyle w:val="PlainText"/>
              <w:spacing w:before="0"/>
              <w:jc w:val="center"/>
              <w:rPr>
                <w:b/>
                <w:bCs/>
                <w:color w:val="808080"/>
              </w:rPr>
            </w:pPr>
            <w:r>
              <w:rPr>
                <w:b/>
                <w:bCs/>
                <w:color w:val="808080"/>
              </w:rPr>
              <w:t>Cambridge, MA 02139</w:t>
            </w:r>
          </w:p>
          <w:p w14:paraId="19BE5205" w14:textId="77777777" w:rsidR="005F48B2" w:rsidRDefault="005F48B2" w:rsidP="000745A1">
            <w:pPr>
              <w:pStyle w:val="PlainText"/>
              <w:spacing w:before="0"/>
              <w:jc w:val="center"/>
              <w:rPr>
                <w:color w:val="808080"/>
              </w:rPr>
            </w:pPr>
            <w:r>
              <w:rPr>
                <w:color w:val="808080"/>
              </w:rPr>
              <w:t>Phone (617) 253-4824</w:t>
            </w:r>
          </w:p>
          <w:p w14:paraId="355D4323" w14:textId="77777777" w:rsidR="005F48B2" w:rsidRDefault="005F48B2" w:rsidP="000745A1">
            <w:pPr>
              <w:pStyle w:val="PlainText"/>
              <w:spacing w:before="0"/>
              <w:jc w:val="center"/>
              <w:rPr>
                <w:color w:val="808080"/>
              </w:rPr>
            </w:pPr>
            <w:r>
              <w:rPr>
                <w:color w:val="808080"/>
              </w:rPr>
              <w:t>Fax (617) 253-7014</w:t>
            </w:r>
          </w:p>
          <w:p w14:paraId="55E56DD4" w14:textId="77777777" w:rsidR="005F48B2" w:rsidRDefault="005F48B2" w:rsidP="000745A1">
            <w:pPr>
              <w:pStyle w:val="PlainText"/>
              <w:spacing w:before="0"/>
              <w:jc w:val="center"/>
              <w:rPr>
                <w:color w:val="808080"/>
              </w:rPr>
            </w:pPr>
            <w:r>
              <w:rPr>
                <w:color w:val="808080"/>
              </w:rPr>
              <w:t xml:space="preserve">E-mail: </w:t>
            </w:r>
            <w:hyperlink r:id="rId10" w:history="1">
              <w:r w:rsidR="004C4476" w:rsidRPr="00D633A8">
                <w:rPr>
                  <w:rStyle w:val="Hyperlink"/>
                </w:rPr>
                <w:t>info@ligo.mit.edu</w:t>
              </w:r>
            </w:hyperlink>
          </w:p>
        </w:tc>
      </w:tr>
      <w:tr w:rsidR="005F48B2" w14:paraId="3F8B39A9" w14:textId="77777777">
        <w:tc>
          <w:tcPr>
            <w:tcW w:w="4909" w:type="dxa"/>
          </w:tcPr>
          <w:p w14:paraId="42F375E2" w14:textId="77777777" w:rsidR="005F48B2" w:rsidRDefault="005F48B2" w:rsidP="000745A1">
            <w:pPr>
              <w:pStyle w:val="PlainText"/>
              <w:spacing w:before="0"/>
              <w:jc w:val="center"/>
              <w:rPr>
                <w:b/>
                <w:bCs/>
                <w:color w:val="808080"/>
              </w:rPr>
            </w:pPr>
          </w:p>
          <w:p w14:paraId="10FE24B7" w14:textId="77777777" w:rsidR="005F48B2" w:rsidRDefault="005F48B2" w:rsidP="000745A1">
            <w:pPr>
              <w:pStyle w:val="PlainText"/>
              <w:spacing w:before="0"/>
              <w:jc w:val="center"/>
              <w:rPr>
                <w:b/>
                <w:bCs/>
                <w:color w:val="808080"/>
              </w:rPr>
            </w:pPr>
            <w:r>
              <w:rPr>
                <w:b/>
                <w:bCs/>
                <w:color w:val="808080"/>
              </w:rPr>
              <w:t>LIGO Hanford Observatory</w:t>
            </w:r>
          </w:p>
          <w:p w14:paraId="00D32A25" w14:textId="77777777" w:rsidR="005F48B2" w:rsidRDefault="005F48B2" w:rsidP="000745A1">
            <w:pPr>
              <w:pStyle w:val="PlainText"/>
              <w:spacing w:before="0"/>
              <w:jc w:val="center"/>
              <w:rPr>
                <w:b/>
                <w:bCs/>
                <w:color w:val="808080"/>
              </w:rPr>
            </w:pPr>
            <w:r>
              <w:rPr>
                <w:b/>
                <w:bCs/>
                <w:color w:val="808080"/>
              </w:rPr>
              <w:t xml:space="preserve">P.O. Box </w:t>
            </w:r>
            <w:r w:rsidR="00FB3DAE">
              <w:rPr>
                <w:b/>
                <w:bCs/>
                <w:color w:val="808080"/>
              </w:rPr>
              <w:t>159</w:t>
            </w:r>
          </w:p>
          <w:p w14:paraId="4004809E" w14:textId="77777777" w:rsidR="005F48B2" w:rsidRDefault="005F48B2" w:rsidP="000745A1">
            <w:pPr>
              <w:pStyle w:val="PlainText"/>
              <w:spacing w:before="0"/>
              <w:jc w:val="center"/>
              <w:rPr>
                <w:b/>
                <w:bCs/>
                <w:color w:val="808080"/>
              </w:rPr>
            </w:pPr>
            <w:r>
              <w:rPr>
                <w:b/>
                <w:bCs/>
                <w:color w:val="808080"/>
              </w:rPr>
              <w:t>Richland WA 99352</w:t>
            </w:r>
          </w:p>
          <w:p w14:paraId="07C70991" w14:textId="77777777" w:rsidR="005F48B2" w:rsidRDefault="005F48B2" w:rsidP="000745A1">
            <w:pPr>
              <w:pStyle w:val="PlainText"/>
              <w:spacing w:before="0"/>
              <w:jc w:val="center"/>
              <w:rPr>
                <w:color w:val="808080"/>
              </w:rPr>
            </w:pPr>
            <w:r>
              <w:rPr>
                <w:color w:val="808080"/>
              </w:rPr>
              <w:t>Phone 509-372-8106</w:t>
            </w:r>
          </w:p>
          <w:p w14:paraId="79C6A849" w14:textId="77777777" w:rsidR="005F48B2" w:rsidRDefault="005F48B2" w:rsidP="000745A1">
            <w:pPr>
              <w:pStyle w:val="PlainText"/>
              <w:spacing w:before="0"/>
              <w:jc w:val="center"/>
              <w:rPr>
                <w:b/>
                <w:bCs/>
                <w:color w:val="808080"/>
              </w:rPr>
            </w:pPr>
            <w:r>
              <w:rPr>
                <w:color w:val="808080"/>
              </w:rPr>
              <w:t>Fax 509-372-8137</w:t>
            </w:r>
          </w:p>
        </w:tc>
        <w:tc>
          <w:tcPr>
            <w:tcW w:w="4909" w:type="dxa"/>
          </w:tcPr>
          <w:p w14:paraId="5532E397" w14:textId="77777777" w:rsidR="005F48B2" w:rsidRDefault="005F48B2" w:rsidP="000745A1">
            <w:pPr>
              <w:pStyle w:val="PlainText"/>
              <w:spacing w:before="0"/>
              <w:jc w:val="center"/>
              <w:rPr>
                <w:b/>
                <w:bCs/>
                <w:color w:val="808080"/>
              </w:rPr>
            </w:pPr>
          </w:p>
          <w:p w14:paraId="1C52076D" w14:textId="77777777" w:rsidR="005F48B2" w:rsidRDefault="005F48B2" w:rsidP="000745A1">
            <w:pPr>
              <w:pStyle w:val="PlainText"/>
              <w:spacing w:before="0"/>
              <w:jc w:val="center"/>
              <w:rPr>
                <w:b/>
                <w:bCs/>
                <w:color w:val="808080"/>
              </w:rPr>
            </w:pPr>
            <w:r>
              <w:rPr>
                <w:b/>
                <w:bCs/>
                <w:color w:val="808080"/>
              </w:rPr>
              <w:t>LIGO Livingston Observatory</w:t>
            </w:r>
          </w:p>
          <w:p w14:paraId="11F3A5D6" w14:textId="77777777" w:rsidR="005F48B2" w:rsidRDefault="005F48B2" w:rsidP="000745A1">
            <w:pPr>
              <w:pStyle w:val="PlainText"/>
              <w:spacing w:before="0"/>
              <w:jc w:val="center"/>
              <w:rPr>
                <w:b/>
                <w:bCs/>
                <w:color w:val="808080"/>
              </w:rPr>
            </w:pPr>
            <w:r>
              <w:rPr>
                <w:b/>
                <w:bCs/>
                <w:color w:val="808080"/>
              </w:rPr>
              <w:t>P.O. Box 940</w:t>
            </w:r>
          </w:p>
          <w:p w14:paraId="4B2DAFEC" w14:textId="77777777" w:rsidR="005F48B2" w:rsidRDefault="005F48B2" w:rsidP="000745A1">
            <w:pPr>
              <w:pStyle w:val="PlainText"/>
              <w:spacing w:before="0"/>
              <w:jc w:val="center"/>
              <w:rPr>
                <w:b/>
                <w:bCs/>
                <w:color w:val="808080"/>
              </w:rPr>
            </w:pPr>
            <w:r>
              <w:rPr>
                <w:b/>
                <w:bCs/>
                <w:color w:val="808080"/>
              </w:rPr>
              <w:t>Livingston, LA  70754</w:t>
            </w:r>
          </w:p>
          <w:p w14:paraId="32C2DEE1" w14:textId="77777777" w:rsidR="005F48B2" w:rsidRDefault="005F48B2" w:rsidP="000745A1">
            <w:pPr>
              <w:pStyle w:val="PlainText"/>
              <w:spacing w:before="0"/>
              <w:jc w:val="center"/>
              <w:rPr>
                <w:color w:val="808080"/>
              </w:rPr>
            </w:pPr>
            <w:r>
              <w:rPr>
                <w:color w:val="808080"/>
              </w:rPr>
              <w:t>Phone 225-686-3100</w:t>
            </w:r>
          </w:p>
          <w:p w14:paraId="78ED3806" w14:textId="77777777" w:rsidR="005F48B2" w:rsidRDefault="005F48B2" w:rsidP="000745A1">
            <w:pPr>
              <w:pStyle w:val="PlainText"/>
              <w:spacing w:before="0"/>
              <w:jc w:val="center"/>
              <w:rPr>
                <w:b/>
                <w:bCs/>
                <w:color w:val="808080"/>
              </w:rPr>
            </w:pPr>
            <w:r>
              <w:rPr>
                <w:color w:val="808080"/>
              </w:rPr>
              <w:t>Fax 225-686-7189</w:t>
            </w:r>
          </w:p>
        </w:tc>
      </w:tr>
    </w:tbl>
    <w:p w14:paraId="5B2FEF6B" w14:textId="7422A82E" w:rsidR="005F48B2" w:rsidRDefault="00E57C6B" w:rsidP="000745A1">
      <w:pPr>
        <w:pStyle w:val="PlainText"/>
        <w:jc w:val="center"/>
      </w:pPr>
      <w:hyperlink r:id="rId11" w:history="1">
        <w:r w:rsidR="005F48B2" w:rsidRPr="00767634">
          <w:rPr>
            <w:rStyle w:val="Hyperlink"/>
          </w:rPr>
          <w:t>http://www.ligo.caltech.edu/</w:t>
        </w:r>
      </w:hyperlink>
    </w:p>
    <w:p w14:paraId="3DE99A75" w14:textId="14346119" w:rsidR="00B34FF2" w:rsidRDefault="005F48B2" w:rsidP="000745A1">
      <w:pPr>
        <w:pStyle w:val="TOCHeading"/>
        <w:jc w:val="center"/>
      </w:pPr>
      <w:r>
        <w:br w:type="page"/>
      </w:r>
      <w:bookmarkStart w:id="0" w:name="_Toc170193749"/>
      <w:bookmarkEnd w:id="0"/>
    </w:p>
    <w:p w14:paraId="5BDA071D" w14:textId="77777777" w:rsidR="00C21426" w:rsidRDefault="00C21426" w:rsidP="005449AA">
      <w:pPr>
        <w:jc w:val="left"/>
        <w:rPr>
          <w:b/>
          <w:u w:val="single"/>
        </w:rPr>
      </w:pPr>
    </w:p>
    <w:p w14:paraId="2F19CB53" w14:textId="4CB9F37F" w:rsidR="00C21426" w:rsidRPr="008678BC" w:rsidRDefault="00C21426" w:rsidP="005449AA">
      <w:pPr>
        <w:pStyle w:val="ListParagraph"/>
        <w:numPr>
          <w:ilvl w:val="0"/>
          <w:numId w:val="26"/>
        </w:numPr>
        <w:jc w:val="left"/>
        <w:rPr>
          <w:b/>
          <w:u w:val="single"/>
        </w:rPr>
      </w:pPr>
      <w:r w:rsidRPr="008678BC">
        <w:rPr>
          <w:b/>
          <w:u w:val="single"/>
        </w:rPr>
        <w:t>Table of Contents</w:t>
      </w:r>
    </w:p>
    <w:p w14:paraId="6FF62461" w14:textId="77777777" w:rsidR="00E57C6B" w:rsidRDefault="00C21426">
      <w:pPr>
        <w:pStyle w:val="TOC1"/>
        <w:tabs>
          <w:tab w:val="left" w:pos="480"/>
          <w:tab w:val="right" w:leader="dot" w:pos="9580"/>
        </w:tabs>
        <w:rPr>
          <w:rFonts w:eastAsiaTheme="minorEastAsia" w:cstheme="minorBidi"/>
          <w:b w:val="0"/>
          <w:noProof/>
          <w:sz w:val="22"/>
          <w:szCs w:val="22"/>
          <w:lang w:bidi="he-IL"/>
        </w:rPr>
      </w:pPr>
      <w:r>
        <w:fldChar w:fldCharType="begin"/>
      </w:r>
      <w:r>
        <w:instrText xml:space="preserve"> TOC \o "1-6" </w:instrText>
      </w:r>
      <w:r>
        <w:fldChar w:fldCharType="separate"/>
      </w:r>
      <w:bookmarkStart w:id="1" w:name="_GoBack"/>
      <w:bookmarkEnd w:id="1"/>
      <w:r w:rsidR="00E57C6B">
        <w:rPr>
          <w:noProof/>
        </w:rPr>
        <w:t>1</w:t>
      </w:r>
      <w:r w:rsidR="00E57C6B">
        <w:rPr>
          <w:rFonts w:eastAsiaTheme="minorEastAsia" w:cstheme="minorBidi"/>
          <w:b w:val="0"/>
          <w:noProof/>
          <w:sz w:val="22"/>
          <w:szCs w:val="22"/>
          <w:lang w:bidi="he-IL"/>
        </w:rPr>
        <w:tab/>
      </w:r>
      <w:r w:rsidR="00E57C6B">
        <w:rPr>
          <w:noProof/>
        </w:rPr>
        <w:t>Introduction</w:t>
      </w:r>
      <w:r w:rsidR="00E57C6B">
        <w:rPr>
          <w:noProof/>
        </w:rPr>
        <w:tab/>
      </w:r>
      <w:r w:rsidR="00E57C6B">
        <w:rPr>
          <w:noProof/>
        </w:rPr>
        <w:fldChar w:fldCharType="begin"/>
      </w:r>
      <w:r w:rsidR="00E57C6B">
        <w:rPr>
          <w:noProof/>
        </w:rPr>
        <w:instrText xml:space="preserve"> PAGEREF _Toc321729340 \h </w:instrText>
      </w:r>
      <w:r w:rsidR="00E57C6B">
        <w:rPr>
          <w:noProof/>
        </w:rPr>
      </w:r>
      <w:r w:rsidR="00E57C6B">
        <w:rPr>
          <w:noProof/>
        </w:rPr>
        <w:fldChar w:fldCharType="separate"/>
      </w:r>
      <w:r w:rsidR="00E57C6B">
        <w:rPr>
          <w:noProof/>
        </w:rPr>
        <w:t>5</w:t>
      </w:r>
      <w:r w:rsidR="00E57C6B">
        <w:rPr>
          <w:noProof/>
        </w:rPr>
        <w:fldChar w:fldCharType="end"/>
      </w:r>
    </w:p>
    <w:p w14:paraId="50DE9D97" w14:textId="77777777" w:rsidR="00E57C6B" w:rsidRDefault="00E57C6B">
      <w:pPr>
        <w:pStyle w:val="TOC2"/>
        <w:tabs>
          <w:tab w:val="left" w:pos="960"/>
          <w:tab w:val="right" w:leader="dot" w:pos="9580"/>
        </w:tabs>
        <w:rPr>
          <w:rFonts w:eastAsiaTheme="minorEastAsia" w:cstheme="minorBidi"/>
          <w:b w:val="0"/>
          <w:noProof/>
          <w:lang w:bidi="he-IL"/>
        </w:rPr>
      </w:pPr>
      <w:r>
        <w:rPr>
          <w:noProof/>
        </w:rPr>
        <w:t>1.1</w:t>
      </w:r>
      <w:r>
        <w:rPr>
          <w:rFonts w:eastAsiaTheme="minorEastAsia" w:cstheme="minorBidi"/>
          <w:b w:val="0"/>
          <w:noProof/>
          <w:lang w:bidi="he-IL"/>
        </w:rPr>
        <w:tab/>
      </w:r>
      <w:r>
        <w:rPr>
          <w:noProof/>
        </w:rPr>
        <w:t>Preface</w:t>
      </w:r>
      <w:r>
        <w:rPr>
          <w:noProof/>
        </w:rPr>
        <w:tab/>
      </w:r>
      <w:r>
        <w:rPr>
          <w:noProof/>
        </w:rPr>
        <w:fldChar w:fldCharType="begin"/>
      </w:r>
      <w:r>
        <w:rPr>
          <w:noProof/>
        </w:rPr>
        <w:instrText xml:space="preserve"> PAGEREF _Toc321729341 \h </w:instrText>
      </w:r>
      <w:r>
        <w:rPr>
          <w:noProof/>
        </w:rPr>
      </w:r>
      <w:r>
        <w:rPr>
          <w:noProof/>
        </w:rPr>
        <w:fldChar w:fldCharType="separate"/>
      </w:r>
      <w:r>
        <w:rPr>
          <w:noProof/>
        </w:rPr>
        <w:t>5</w:t>
      </w:r>
      <w:r>
        <w:rPr>
          <w:noProof/>
        </w:rPr>
        <w:fldChar w:fldCharType="end"/>
      </w:r>
    </w:p>
    <w:p w14:paraId="0750898B" w14:textId="77777777" w:rsidR="00E57C6B" w:rsidRDefault="00E57C6B">
      <w:pPr>
        <w:pStyle w:val="TOC2"/>
        <w:tabs>
          <w:tab w:val="left" w:pos="960"/>
          <w:tab w:val="right" w:leader="dot" w:pos="9580"/>
        </w:tabs>
        <w:rPr>
          <w:rFonts w:eastAsiaTheme="minorEastAsia" w:cstheme="minorBidi"/>
          <w:b w:val="0"/>
          <w:noProof/>
          <w:lang w:bidi="he-IL"/>
        </w:rPr>
      </w:pPr>
      <w:r>
        <w:rPr>
          <w:noProof/>
        </w:rPr>
        <w:t>1.2</w:t>
      </w:r>
      <w:r>
        <w:rPr>
          <w:rFonts w:eastAsiaTheme="minorEastAsia" w:cstheme="minorBidi"/>
          <w:b w:val="0"/>
          <w:noProof/>
          <w:lang w:bidi="he-IL"/>
        </w:rPr>
        <w:tab/>
      </w:r>
      <w:r>
        <w:rPr>
          <w:noProof/>
        </w:rPr>
        <w:t>Principle of Operation</w:t>
      </w:r>
      <w:r>
        <w:rPr>
          <w:noProof/>
        </w:rPr>
        <w:tab/>
      </w:r>
      <w:r>
        <w:rPr>
          <w:noProof/>
        </w:rPr>
        <w:fldChar w:fldCharType="begin"/>
      </w:r>
      <w:r>
        <w:rPr>
          <w:noProof/>
        </w:rPr>
        <w:instrText xml:space="preserve"> PAGEREF _Toc321729342 \h </w:instrText>
      </w:r>
      <w:r>
        <w:rPr>
          <w:noProof/>
        </w:rPr>
      </w:r>
      <w:r>
        <w:rPr>
          <w:noProof/>
        </w:rPr>
        <w:fldChar w:fldCharType="separate"/>
      </w:r>
      <w:r>
        <w:rPr>
          <w:noProof/>
        </w:rPr>
        <w:t>6</w:t>
      </w:r>
      <w:r>
        <w:rPr>
          <w:noProof/>
        </w:rPr>
        <w:fldChar w:fldCharType="end"/>
      </w:r>
    </w:p>
    <w:p w14:paraId="37B94B40"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2</w:t>
      </w:r>
      <w:r>
        <w:rPr>
          <w:rFonts w:eastAsiaTheme="minorEastAsia" w:cstheme="minorBidi"/>
          <w:b w:val="0"/>
          <w:noProof/>
          <w:sz w:val="22"/>
          <w:szCs w:val="22"/>
          <w:lang w:bidi="he-IL"/>
        </w:rPr>
        <w:tab/>
      </w:r>
      <w:r>
        <w:rPr>
          <w:noProof/>
        </w:rPr>
        <w:t>Performance Requirements</w:t>
      </w:r>
      <w:r>
        <w:rPr>
          <w:noProof/>
        </w:rPr>
        <w:tab/>
      </w:r>
      <w:r>
        <w:rPr>
          <w:noProof/>
        </w:rPr>
        <w:fldChar w:fldCharType="begin"/>
      </w:r>
      <w:r>
        <w:rPr>
          <w:noProof/>
        </w:rPr>
        <w:instrText xml:space="preserve"> PAGEREF _Toc321729343 \h </w:instrText>
      </w:r>
      <w:r>
        <w:rPr>
          <w:noProof/>
        </w:rPr>
      </w:r>
      <w:r>
        <w:rPr>
          <w:noProof/>
        </w:rPr>
        <w:fldChar w:fldCharType="separate"/>
      </w:r>
      <w:r>
        <w:rPr>
          <w:noProof/>
        </w:rPr>
        <w:t>7</w:t>
      </w:r>
      <w:r>
        <w:rPr>
          <w:noProof/>
        </w:rPr>
        <w:fldChar w:fldCharType="end"/>
      </w:r>
    </w:p>
    <w:p w14:paraId="5A88A11A" w14:textId="77777777" w:rsidR="00E57C6B" w:rsidRDefault="00E57C6B">
      <w:pPr>
        <w:pStyle w:val="TOC2"/>
        <w:tabs>
          <w:tab w:val="left" w:pos="960"/>
          <w:tab w:val="right" w:leader="dot" w:pos="9580"/>
        </w:tabs>
        <w:rPr>
          <w:rFonts w:eastAsiaTheme="minorEastAsia" w:cstheme="minorBidi"/>
          <w:b w:val="0"/>
          <w:noProof/>
          <w:lang w:bidi="he-IL"/>
        </w:rPr>
      </w:pPr>
      <w:r>
        <w:rPr>
          <w:noProof/>
        </w:rPr>
        <w:t>2.1</w:t>
      </w:r>
      <w:r>
        <w:rPr>
          <w:rFonts w:eastAsiaTheme="minorEastAsia" w:cstheme="minorBidi"/>
          <w:b w:val="0"/>
          <w:noProof/>
          <w:lang w:bidi="he-IL"/>
        </w:rPr>
        <w:tab/>
      </w:r>
      <w:r>
        <w:rPr>
          <w:noProof/>
        </w:rPr>
        <w:t>Accuracy of Induced Displacements: Absolute Power Calibration, Beam Positioning on ETM Surface</w:t>
      </w:r>
      <w:r>
        <w:rPr>
          <w:noProof/>
        </w:rPr>
        <w:tab/>
      </w:r>
      <w:r>
        <w:rPr>
          <w:noProof/>
        </w:rPr>
        <w:fldChar w:fldCharType="begin"/>
      </w:r>
      <w:r>
        <w:rPr>
          <w:noProof/>
        </w:rPr>
        <w:instrText xml:space="preserve"> PAGEREF _Toc321729344 \h </w:instrText>
      </w:r>
      <w:r>
        <w:rPr>
          <w:noProof/>
        </w:rPr>
      </w:r>
      <w:r>
        <w:rPr>
          <w:noProof/>
        </w:rPr>
        <w:fldChar w:fldCharType="separate"/>
      </w:r>
      <w:r>
        <w:rPr>
          <w:noProof/>
        </w:rPr>
        <w:t>7</w:t>
      </w:r>
      <w:r>
        <w:rPr>
          <w:noProof/>
        </w:rPr>
        <w:fldChar w:fldCharType="end"/>
      </w:r>
    </w:p>
    <w:p w14:paraId="46994DE4" w14:textId="77777777" w:rsidR="00E57C6B" w:rsidRDefault="00E57C6B">
      <w:pPr>
        <w:pStyle w:val="TOC3"/>
        <w:tabs>
          <w:tab w:val="left" w:pos="1200"/>
          <w:tab w:val="right" w:leader="dot" w:pos="9580"/>
        </w:tabs>
        <w:rPr>
          <w:rFonts w:eastAsiaTheme="minorEastAsia" w:cstheme="minorBidi"/>
          <w:noProof/>
          <w:lang w:bidi="he-IL"/>
        </w:rPr>
      </w:pPr>
      <w:r>
        <w:rPr>
          <w:noProof/>
        </w:rPr>
        <w:t>2.1.1</w:t>
      </w:r>
      <w:r>
        <w:rPr>
          <w:rFonts w:eastAsiaTheme="minorEastAsia" w:cstheme="minorBidi"/>
          <w:noProof/>
          <w:lang w:bidi="he-IL"/>
        </w:rPr>
        <w:tab/>
      </w:r>
      <w:r>
        <w:rPr>
          <w:noProof/>
        </w:rPr>
        <w:t>Absolute Power Calibration</w:t>
      </w:r>
      <w:r>
        <w:rPr>
          <w:noProof/>
        </w:rPr>
        <w:tab/>
      </w:r>
      <w:r>
        <w:rPr>
          <w:noProof/>
        </w:rPr>
        <w:fldChar w:fldCharType="begin"/>
      </w:r>
      <w:r>
        <w:rPr>
          <w:noProof/>
        </w:rPr>
        <w:instrText xml:space="preserve"> PAGEREF _Toc321729345 \h </w:instrText>
      </w:r>
      <w:r>
        <w:rPr>
          <w:noProof/>
        </w:rPr>
      </w:r>
      <w:r>
        <w:rPr>
          <w:noProof/>
        </w:rPr>
        <w:fldChar w:fldCharType="separate"/>
      </w:r>
      <w:r>
        <w:rPr>
          <w:noProof/>
        </w:rPr>
        <w:t>7</w:t>
      </w:r>
      <w:r>
        <w:rPr>
          <w:noProof/>
        </w:rPr>
        <w:fldChar w:fldCharType="end"/>
      </w:r>
    </w:p>
    <w:p w14:paraId="024E0FCE" w14:textId="77777777" w:rsidR="00E57C6B" w:rsidRDefault="00E57C6B">
      <w:pPr>
        <w:pStyle w:val="TOC3"/>
        <w:tabs>
          <w:tab w:val="left" w:pos="1200"/>
          <w:tab w:val="right" w:leader="dot" w:pos="9580"/>
        </w:tabs>
        <w:rPr>
          <w:rFonts w:eastAsiaTheme="minorEastAsia" w:cstheme="minorBidi"/>
          <w:noProof/>
          <w:lang w:bidi="he-IL"/>
        </w:rPr>
      </w:pPr>
      <w:r>
        <w:rPr>
          <w:noProof/>
        </w:rPr>
        <w:t>2.1.2</w:t>
      </w:r>
      <w:r>
        <w:rPr>
          <w:rFonts w:eastAsiaTheme="minorEastAsia" w:cstheme="minorBidi"/>
          <w:noProof/>
          <w:lang w:bidi="he-IL"/>
        </w:rPr>
        <w:tab/>
      </w:r>
      <w:r>
        <w:rPr>
          <w:noProof/>
        </w:rPr>
        <w:t>Beam Positioning on ETM Surface</w:t>
      </w:r>
      <w:r>
        <w:rPr>
          <w:noProof/>
        </w:rPr>
        <w:tab/>
      </w:r>
      <w:r>
        <w:rPr>
          <w:noProof/>
        </w:rPr>
        <w:fldChar w:fldCharType="begin"/>
      </w:r>
      <w:r>
        <w:rPr>
          <w:noProof/>
        </w:rPr>
        <w:instrText xml:space="preserve"> PAGEREF _Toc321729346 \h </w:instrText>
      </w:r>
      <w:r>
        <w:rPr>
          <w:noProof/>
        </w:rPr>
      </w:r>
      <w:r>
        <w:rPr>
          <w:noProof/>
        </w:rPr>
        <w:fldChar w:fldCharType="separate"/>
      </w:r>
      <w:r>
        <w:rPr>
          <w:noProof/>
        </w:rPr>
        <w:t>8</w:t>
      </w:r>
      <w:r>
        <w:rPr>
          <w:noProof/>
        </w:rPr>
        <w:fldChar w:fldCharType="end"/>
      </w:r>
    </w:p>
    <w:p w14:paraId="07C0FB80" w14:textId="77777777" w:rsidR="00E57C6B" w:rsidRDefault="00E57C6B">
      <w:pPr>
        <w:pStyle w:val="TOC2"/>
        <w:tabs>
          <w:tab w:val="left" w:pos="960"/>
          <w:tab w:val="right" w:leader="dot" w:pos="9580"/>
        </w:tabs>
        <w:rPr>
          <w:rFonts w:eastAsiaTheme="minorEastAsia" w:cstheme="minorBidi"/>
          <w:b w:val="0"/>
          <w:noProof/>
          <w:lang w:bidi="he-IL"/>
        </w:rPr>
      </w:pPr>
      <w:r>
        <w:rPr>
          <w:noProof/>
        </w:rPr>
        <w:t>2.2</w:t>
      </w:r>
      <w:r>
        <w:rPr>
          <w:rFonts w:eastAsiaTheme="minorEastAsia" w:cstheme="minorBidi"/>
          <w:b w:val="0"/>
          <w:noProof/>
          <w:lang w:bidi="he-IL"/>
        </w:rPr>
        <w:tab/>
      </w:r>
      <w:r>
        <w:rPr>
          <w:noProof/>
        </w:rPr>
        <w:t>Precision of Induced Displacements: Laser Power</w:t>
      </w:r>
      <w:r>
        <w:rPr>
          <w:noProof/>
        </w:rPr>
        <w:tab/>
      </w:r>
      <w:r>
        <w:rPr>
          <w:noProof/>
        </w:rPr>
        <w:fldChar w:fldCharType="begin"/>
      </w:r>
      <w:r>
        <w:rPr>
          <w:noProof/>
        </w:rPr>
        <w:instrText xml:space="preserve"> PAGEREF _Toc321729347 \h </w:instrText>
      </w:r>
      <w:r>
        <w:rPr>
          <w:noProof/>
        </w:rPr>
      </w:r>
      <w:r>
        <w:rPr>
          <w:noProof/>
        </w:rPr>
        <w:fldChar w:fldCharType="separate"/>
      </w:r>
      <w:r>
        <w:rPr>
          <w:noProof/>
        </w:rPr>
        <w:t>11</w:t>
      </w:r>
      <w:r>
        <w:rPr>
          <w:noProof/>
        </w:rPr>
        <w:fldChar w:fldCharType="end"/>
      </w:r>
    </w:p>
    <w:p w14:paraId="117D10AE" w14:textId="77777777" w:rsidR="00E57C6B" w:rsidRDefault="00E57C6B">
      <w:pPr>
        <w:pStyle w:val="TOC2"/>
        <w:tabs>
          <w:tab w:val="left" w:pos="960"/>
          <w:tab w:val="right" w:leader="dot" w:pos="9580"/>
        </w:tabs>
        <w:rPr>
          <w:rFonts w:eastAsiaTheme="minorEastAsia" w:cstheme="minorBidi"/>
          <w:b w:val="0"/>
          <w:noProof/>
          <w:lang w:bidi="he-IL"/>
        </w:rPr>
      </w:pPr>
      <w:r>
        <w:rPr>
          <w:noProof/>
        </w:rPr>
        <w:t>2.3</w:t>
      </w:r>
      <w:r>
        <w:rPr>
          <w:rFonts w:eastAsiaTheme="minorEastAsia" w:cstheme="minorBidi"/>
          <w:b w:val="0"/>
          <w:noProof/>
          <w:lang w:bidi="he-IL"/>
        </w:rPr>
        <w:tab/>
      </w:r>
      <w:r>
        <w:rPr>
          <w:noProof/>
        </w:rPr>
        <w:t>Displacement Noise: Relative Power Noise and Harmonic Noise</w:t>
      </w:r>
      <w:r>
        <w:rPr>
          <w:noProof/>
        </w:rPr>
        <w:tab/>
      </w:r>
      <w:r>
        <w:rPr>
          <w:noProof/>
        </w:rPr>
        <w:fldChar w:fldCharType="begin"/>
      </w:r>
      <w:r>
        <w:rPr>
          <w:noProof/>
        </w:rPr>
        <w:instrText xml:space="preserve"> PAGEREF _Toc321729348 \h </w:instrText>
      </w:r>
      <w:r>
        <w:rPr>
          <w:noProof/>
        </w:rPr>
      </w:r>
      <w:r>
        <w:rPr>
          <w:noProof/>
        </w:rPr>
        <w:fldChar w:fldCharType="separate"/>
      </w:r>
      <w:r>
        <w:rPr>
          <w:noProof/>
        </w:rPr>
        <w:t>14</w:t>
      </w:r>
      <w:r>
        <w:rPr>
          <w:noProof/>
        </w:rPr>
        <w:fldChar w:fldCharType="end"/>
      </w:r>
    </w:p>
    <w:p w14:paraId="05F5B002" w14:textId="77777777" w:rsidR="00E57C6B" w:rsidRDefault="00E57C6B">
      <w:pPr>
        <w:pStyle w:val="TOC2"/>
        <w:tabs>
          <w:tab w:val="left" w:pos="960"/>
          <w:tab w:val="right" w:leader="dot" w:pos="9580"/>
        </w:tabs>
        <w:rPr>
          <w:rFonts w:eastAsiaTheme="minorEastAsia" w:cstheme="minorBidi"/>
          <w:b w:val="0"/>
          <w:noProof/>
          <w:lang w:bidi="he-IL"/>
        </w:rPr>
      </w:pPr>
      <w:r>
        <w:rPr>
          <w:noProof/>
        </w:rPr>
        <w:t>2.4</w:t>
      </w:r>
      <w:r>
        <w:rPr>
          <w:rFonts w:eastAsiaTheme="minorEastAsia" w:cstheme="minorBidi"/>
          <w:b w:val="0"/>
          <w:noProof/>
          <w:lang w:bidi="he-IL"/>
        </w:rPr>
        <w:tab/>
      </w:r>
      <w:r>
        <w:rPr>
          <w:noProof/>
        </w:rPr>
        <w:t>UTC Synchronization</w:t>
      </w:r>
      <w:r>
        <w:rPr>
          <w:noProof/>
        </w:rPr>
        <w:tab/>
      </w:r>
      <w:r>
        <w:rPr>
          <w:noProof/>
        </w:rPr>
        <w:fldChar w:fldCharType="begin"/>
      </w:r>
      <w:r>
        <w:rPr>
          <w:noProof/>
        </w:rPr>
        <w:instrText xml:space="preserve"> PAGEREF _Toc321729349 \h </w:instrText>
      </w:r>
      <w:r>
        <w:rPr>
          <w:noProof/>
        </w:rPr>
      </w:r>
      <w:r>
        <w:rPr>
          <w:noProof/>
        </w:rPr>
        <w:fldChar w:fldCharType="separate"/>
      </w:r>
      <w:r>
        <w:rPr>
          <w:noProof/>
        </w:rPr>
        <w:t>16</w:t>
      </w:r>
      <w:r>
        <w:rPr>
          <w:noProof/>
        </w:rPr>
        <w:fldChar w:fldCharType="end"/>
      </w:r>
    </w:p>
    <w:p w14:paraId="3D6DE7EC" w14:textId="77777777" w:rsidR="00E57C6B" w:rsidRDefault="00E57C6B">
      <w:pPr>
        <w:pStyle w:val="TOC2"/>
        <w:tabs>
          <w:tab w:val="left" w:pos="960"/>
          <w:tab w:val="right" w:leader="dot" w:pos="9580"/>
        </w:tabs>
        <w:rPr>
          <w:rFonts w:eastAsiaTheme="minorEastAsia" w:cstheme="minorBidi"/>
          <w:b w:val="0"/>
          <w:noProof/>
          <w:lang w:bidi="he-IL"/>
        </w:rPr>
      </w:pPr>
      <w:r>
        <w:rPr>
          <w:noProof/>
        </w:rPr>
        <w:t>2.5</w:t>
      </w:r>
      <w:r>
        <w:rPr>
          <w:rFonts w:eastAsiaTheme="minorEastAsia" w:cstheme="minorBidi"/>
          <w:b w:val="0"/>
          <w:noProof/>
          <w:lang w:bidi="he-IL"/>
        </w:rPr>
        <w:tab/>
      </w:r>
      <w:r>
        <w:rPr>
          <w:noProof/>
        </w:rPr>
        <w:t>Laser Wavelength</w:t>
      </w:r>
      <w:r>
        <w:rPr>
          <w:noProof/>
        </w:rPr>
        <w:tab/>
      </w:r>
      <w:r>
        <w:rPr>
          <w:noProof/>
        </w:rPr>
        <w:fldChar w:fldCharType="begin"/>
      </w:r>
      <w:r>
        <w:rPr>
          <w:noProof/>
        </w:rPr>
        <w:instrText xml:space="preserve"> PAGEREF _Toc321729350 \h </w:instrText>
      </w:r>
      <w:r>
        <w:rPr>
          <w:noProof/>
        </w:rPr>
      </w:r>
      <w:r>
        <w:rPr>
          <w:noProof/>
        </w:rPr>
        <w:fldChar w:fldCharType="separate"/>
      </w:r>
      <w:r>
        <w:rPr>
          <w:noProof/>
        </w:rPr>
        <w:t>16</w:t>
      </w:r>
      <w:r>
        <w:rPr>
          <w:noProof/>
        </w:rPr>
        <w:fldChar w:fldCharType="end"/>
      </w:r>
    </w:p>
    <w:p w14:paraId="3C672ADB" w14:textId="77777777" w:rsidR="00E57C6B" w:rsidRDefault="00E57C6B">
      <w:pPr>
        <w:pStyle w:val="TOC2"/>
        <w:tabs>
          <w:tab w:val="left" w:pos="960"/>
          <w:tab w:val="right" w:leader="dot" w:pos="9580"/>
        </w:tabs>
        <w:rPr>
          <w:rFonts w:eastAsiaTheme="minorEastAsia" w:cstheme="minorBidi"/>
          <w:b w:val="0"/>
          <w:noProof/>
          <w:lang w:bidi="he-IL"/>
        </w:rPr>
      </w:pPr>
      <w:r>
        <w:rPr>
          <w:noProof/>
        </w:rPr>
        <w:t>2.6</w:t>
      </w:r>
      <w:r>
        <w:rPr>
          <w:rFonts w:eastAsiaTheme="minorEastAsia" w:cstheme="minorBidi"/>
          <w:b w:val="0"/>
          <w:noProof/>
          <w:lang w:bidi="he-IL"/>
        </w:rPr>
        <w:tab/>
      </w:r>
      <w:r>
        <w:rPr>
          <w:noProof/>
        </w:rPr>
        <w:t>Continuous Excitation lines</w:t>
      </w:r>
      <w:r>
        <w:rPr>
          <w:noProof/>
        </w:rPr>
        <w:tab/>
      </w:r>
      <w:r>
        <w:rPr>
          <w:noProof/>
        </w:rPr>
        <w:fldChar w:fldCharType="begin"/>
      </w:r>
      <w:r>
        <w:rPr>
          <w:noProof/>
        </w:rPr>
        <w:instrText xml:space="preserve"> PAGEREF _Toc321729351 \h </w:instrText>
      </w:r>
      <w:r>
        <w:rPr>
          <w:noProof/>
        </w:rPr>
      </w:r>
      <w:r>
        <w:rPr>
          <w:noProof/>
        </w:rPr>
        <w:fldChar w:fldCharType="separate"/>
      </w:r>
      <w:r>
        <w:rPr>
          <w:noProof/>
        </w:rPr>
        <w:t>17</w:t>
      </w:r>
      <w:r>
        <w:rPr>
          <w:noProof/>
        </w:rPr>
        <w:fldChar w:fldCharType="end"/>
      </w:r>
    </w:p>
    <w:p w14:paraId="5CE3D4D2" w14:textId="77777777" w:rsidR="00E57C6B" w:rsidRDefault="00E57C6B">
      <w:pPr>
        <w:pStyle w:val="TOC2"/>
        <w:tabs>
          <w:tab w:val="left" w:pos="960"/>
          <w:tab w:val="right" w:leader="dot" w:pos="9580"/>
        </w:tabs>
        <w:rPr>
          <w:rFonts w:eastAsiaTheme="minorEastAsia" w:cstheme="minorBidi"/>
          <w:b w:val="0"/>
          <w:noProof/>
          <w:lang w:bidi="he-IL"/>
        </w:rPr>
      </w:pPr>
      <w:r>
        <w:rPr>
          <w:noProof/>
        </w:rPr>
        <w:t>2.7</w:t>
      </w:r>
      <w:r>
        <w:rPr>
          <w:rFonts w:eastAsiaTheme="minorEastAsia" w:cstheme="minorBidi"/>
          <w:b w:val="0"/>
          <w:noProof/>
          <w:lang w:bidi="he-IL"/>
        </w:rPr>
        <w:tab/>
      </w:r>
      <w:r>
        <w:rPr>
          <w:noProof/>
        </w:rPr>
        <w:t>Swept-Sine Measurements</w:t>
      </w:r>
      <w:r>
        <w:rPr>
          <w:noProof/>
        </w:rPr>
        <w:tab/>
      </w:r>
      <w:r>
        <w:rPr>
          <w:noProof/>
        </w:rPr>
        <w:fldChar w:fldCharType="begin"/>
      </w:r>
      <w:r>
        <w:rPr>
          <w:noProof/>
        </w:rPr>
        <w:instrText xml:space="preserve"> PAGEREF _Toc321729352 \h </w:instrText>
      </w:r>
      <w:r>
        <w:rPr>
          <w:noProof/>
        </w:rPr>
      </w:r>
      <w:r>
        <w:rPr>
          <w:noProof/>
        </w:rPr>
        <w:fldChar w:fldCharType="separate"/>
      </w:r>
      <w:r>
        <w:rPr>
          <w:noProof/>
        </w:rPr>
        <w:t>17</w:t>
      </w:r>
      <w:r>
        <w:rPr>
          <w:noProof/>
        </w:rPr>
        <w:fldChar w:fldCharType="end"/>
      </w:r>
    </w:p>
    <w:p w14:paraId="2B685E26" w14:textId="77777777" w:rsidR="00E57C6B" w:rsidRDefault="00E57C6B">
      <w:pPr>
        <w:pStyle w:val="TOC2"/>
        <w:tabs>
          <w:tab w:val="left" w:pos="960"/>
          <w:tab w:val="right" w:leader="dot" w:pos="9580"/>
        </w:tabs>
        <w:rPr>
          <w:rFonts w:eastAsiaTheme="minorEastAsia" w:cstheme="minorBidi"/>
          <w:b w:val="0"/>
          <w:noProof/>
          <w:lang w:bidi="he-IL"/>
        </w:rPr>
      </w:pPr>
      <w:r>
        <w:rPr>
          <w:noProof/>
        </w:rPr>
        <w:t>2.8</w:t>
      </w:r>
      <w:r>
        <w:rPr>
          <w:rFonts w:eastAsiaTheme="minorEastAsia" w:cstheme="minorBidi"/>
          <w:b w:val="0"/>
          <w:noProof/>
          <w:lang w:bidi="he-IL"/>
        </w:rPr>
        <w:tab/>
      </w:r>
      <w:r>
        <w:rPr>
          <w:noProof/>
        </w:rPr>
        <w:t>Reliability</w:t>
      </w:r>
      <w:r>
        <w:rPr>
          <w:noProof/>
        </w:rPr>
        <w:tab/>
      </w:r>
      <w:r>
        <w:rPr>
          <w:noProof/>
        </w:rPr>
        <w:fldChar w:fldCharType="begin"/>
      </w:r>
      <w:r>
        <w:rPr>
          <w:noProof/>
        </w:rPr>
        <w:instrText xml:space="preserve"> PAGEREF _Toc321729353 \h </w:instrText>
      </w:r>
      <w:r>
        <w:rPr>
          <w:noProof/>
        </w:rPr>
      </w:r>
      <w:r>
        <w:rPr>
          <w:noProof/>
        </w:rPr>
        <w:fldChar w:fldCharType="separate"/>
      </w:r>
      <w:r>
        <w:rPr>
          <w:noProof/>
        </w:rPr>
        <w:t>17</w:t>
      </w:r>
      <w:r>
        <w:rPr>
          <w:noProof/>
        </w:rPr>
        <w:fldChar w:fldCharType="end"/>
      </w:r>
    </w:p>
    <w:p w14:paraId="5DF093D2"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3</w:t>
      </w:r>
      <w:r>
        <w:rPr>
          <w:rFonts w:eastAsiaTheme="minorEastAsia" w:cstheme="minorBidi"/>
          <w:b w:val="0"/>
          <w:noProof/>
          <w:sz w:val="22"/>
          <w:szCs w:val="22"/>
          <w:lang w:bidi="he-IL"/>
        </w:rPr>
        <w:tab/>
      </w:r>
      <w:r>
        <w:rPr>
          <w:noProof/>
        </w:rPr>
        <w:t>In-Vacuum Systems: Beam Paths and Periscopes</w:t>
      </w:r>
      <w:r>
        <w:rPr>
          <w:noProof/>
        </w:rPr>
        <w:tab/>
      </w:r>
      <w:r>
        <w:rPr>
          <w:noProof/>
        </w:rPr>
        <w:fldChar w:fldCharType="begin"/>
      </w:r>
      <w:r>
        <w:rPr>
          <w:noProof/>
        </w:rPr>
        <w:instrText xml:space="preserve"> PAGEREF _Toc321729354 \h </w:instrText>
      </w:r>
      <w:r>
        <w:rPr>
          <w:noProof/>
        </w:rPr>
      </w:r>
      <w:r>
        <w:rPr>
          <w:noProof/>
        </w:rPr>
        <w:fldChar w:fldCharType="separate"/>
      </w:r>
      <w:r>
        <w:rPr>
          <w:noProof/>
        </w:rPr>
        <w:t>17</w:t>
      </w:r>
      <w:r>
        <w:rPr>
          <w:noProof/>
        </w:rPr>
        <w:fldChar w:fldCharType="end"/>
      </w:r>
    </w:p>
    <w:p w14:paraId="7163CC15" w14:textId="77777777" w:rsidR="00E57C6B" w:rsidRDefault="00E57C6B">
      <w:pPr>
        <w:pStyle w:val="TOC2"/>
        <w:tabs>
          <w:tab w:val="left" w:pos="960"/>
          <w:tab w:val="right" w:leader="dot" w:pos="9580"/>
        </w:tabs>
        <w:rPr>
          <w:rFonts w:eastAsiaTheme="minorEastAsia" w:cstheme="minorBidi"/>
          <w:b w:val="0"/>
          <w:noProof/>
          <w:lang w:bidi="he-IL"/>
        </w:rPr>
      </w:pPr>
      <w:r>
        <w:rPr>
          <w:noProof/>
        </w:rPr>
        <w:t>3.1</w:t>
      </w:r>
      <w:r>
        <w:rPr>
          <w:rFonts w:eastAsiaTheme="minorEastAsia" w:cstheme="minorBidi"/>
          <w:b w:val="0"/>
          <w:noProof/>
          <w:lang w:bidi="he-IL"/>
        </w:rPr>
        <w:tab/>
      </w:r>
      <w:r>
        <w:rPr>
          <w:noProof/>
        </w:rPr>
        <w:t>Beam Paths and Periscopes</w:t>
      </w:r>
      <w:r>
        <w:rPr>
          <w:noProof/>
        </w:rPr>
        <w:tab/>
      </w:r>
      <w:r>
        <w:rPr>
          <w:noProof/>
        </w:rPr>
        <w:fldChar w:fldCharType="begin"/>
      </w:r>
      <w:r>
        <w:rPr>
          <w:noProof/>
        </w:rPr>
        <w:instrText xml:space="preserve"> PAGEREF _Toc321729355 \h </w:instrText>
      </w:r>
      <w:r>
        <w:rPr>
          <w:noProof/>
        </w:rPr>
      </w:r>
      <w:r>
        <w:rPr>
          <w:noProof/>
        </w:rPr>
        <w:fldChar w:fldCharType="separate"/>
      </w:r>
      <w:r>
        <w:rPr>
          <w:noProof/>
        </w:rPr>
        <w:t>19</w:t>
      </w:r>
      <w:r>
        <w:rPr>
          <w:noProof/>
        </w:rPr>
        <w:fldChar w:fldCharType="end"/>
      </w:r>
    </w:p>
    <w:p w14:paraId="1C9937F1" w14:textId="77777777" w:rsidR="00E57C6B" w:rsidRDefault="00E57C6B">
      <w:pPr>
        <w:pStyle w:val="TOC3"/>
        <w:tabs>
          <w:tab w:val="left" w:pos="1200"/>
          <w:tab w:val="right" w:leader="dot" w:pos="9580"/>
        </w:tabs>
        <w:rPr>
          <w:rFonts w:eastAsiaTheme="minorEastAsia" w:cstheme="minorBidi"/>
          <w:noProof/>
          <w:lang w:bidi="he-IL"/>
        </w:rPr>
      </w:pPr>
      <w:r>
        <w:rPr>
          <w:noProof/>
        </w:rPr>
        <w:t>3.1.1</w:t>
      </w:r>
      <w:r>
        <w:rPr>
          <w:rFonts w:eastAsiaTheme="minorEastAsia" w:cstheme="minorBidi"/>
          <w:noProof/>
          <w:lang w:bidi="he-IL"/>
        </w:rPr>
        <w:tab/>
      </w:r>
      <w:r>
        <w:rPr>
          <w:noProof/>
        </w:rPr>
        <w:t>H1 and L1</w:t>
      </w:r>
      <w:r>
        <w:rPr>
          <w:noProof/>
        </w:rPr>
        <w:tab/>
      </w:r>
      <w:r>
        <w:rPr>
          <w:noProof/>
        </w:rPr>
        <w:fldChar w:fldCharType="begin"/>
      </w:r>
      <w:r>
        <w:rPr>
          <w:noProof/>
        </w:rPr>
        <w:instrText xml:space="preserve"> PAGEREF _Toc321729356 \h </w:instrText>
      </w:r>
      <w:r>
        <w:rPr>
          <w:noProof/>
        </w:rPr>
      </w:r>
      <w:r>
        <w:rPr>
          <w:noProof/>
        </w:rPr>
        <w:fldChar w:fldCharType="separate"/>
      </w:r>
      <w:r>
        <w:rPr>
          <w:noProof/>
        </w:rPr>
        <w:t>21</w:t>
      </w:r>
      <w:r>
        <w:rPr>
          <w:noProof/>
        </w:rPr>
        <w:fldChar w:fldCharType="end"/>
      </w:r>
    </w:p>
    <w:p w14:paraId="3D03EB32" w14:textId="77777777" w:rsidR="00E57C6B" w:rsidRDefault="00E57C6B">
      <w:pPr>
        <w:pStyle w:val="TOC3"/>
        <w:tabs>
          <w:tab w:val="left" w:pos="1200"/>
          <w:tab w:val="right" w:leader="dot" w:pos="9580"/>
        </w:tabs>
        <w:rPr>
          <w:rFonts w:eastAsiaTheme="minorEastAsia" w:cstheme="minorBidi"/>
          <w:noProof/>
          <w:lang w:bidi="he-IL"/>
        </w:rPr>
      </w:pPr>
      <w:r>
        <w:rPr>
          <w:noProof/>
        </w:rPr>
        <w:t>3.1.2</w:t>
      </w:r>
      <w:r>
        <w:rPr>
          <w:rFonts w:eastAsiaTheme="minorEastAsia" w:cstheme="minorBidi"/>
          <w:noProof/>
          <w:lang w:bidi="he-IL"/>
        </w:rPr>
        <w:tab/>
      </w:r>
      <w:r>
        <w:rPr>
          <w:noProof/>
        </w:rPr>
        <w:t>H2</w:t>
      </w:r>
      <w:r>
        <w:rPr>
          <w:noProof/>
        </w:rPr>
        <w:tab/>
      </w:r>
      <w:r>
        <w:rPr>
          <w:noProof/>
        </w:rPr>
        <w:fldChar w:fldCharType="begin"/>
      </w:r>
      <w:r>
        <w:rPr>
          <w:noProof/>
        </w:rPr>
        <w:instrText xml:space="preserve"> PAGEREF _Toc321729357 \h </w:instrText>
      </w:r>
      <w:r>
        <w:rPr>
          <w:noProof/>
        </w:rPr>
      </w:r>
      <w:r>
        <w:rPr>
          <w:noProof/>
        </w:rPr>
        <w:fldChar w:fldCharType="separate"/>
      </w:r>
      <w:r>
        <w:rPr>
          <w:noProof/>
        </w:rPr>
        <w:t>23</w:t>
      </w:r>
      <w:r>
        <w:rPr>
          <w:noProof/>
        </w:rPr>
        <w:fldChar w:fldCharType="end"/>
      </w:r>
    </w:p>
    <w:p w14:paraId="5A62C46A" w14:textId="77777777" w:rsidR="00E57C6B" w:rsidRDefault="00E57C6B">
      <w:pPr>
        <w:pStyle w:val="TOC2"/>
        <w:tabs>
          <w:tab w:val="left" w:pos="960"/>
          <w:tab w:val="right" w:leader="dot" w:pos="9580"/>
        </w:tabs>
        <w:rPr>
          <w:rFonts w:eastAsiaTheme="minorEastAsia" w:cstheme="minorBidi"/>
          <w:b w:val="0"/>
          <w:noProof/>
          <w:lang w:bidi="he-IL"/>
        </w:rPr>
      </w:pPr>
      <w:r>
        <w:rPr>
          <w:noProof/>
        </w:rPr>
        <w:t>3.2</w:t>
      </w:r>
      <w:r>
        <w:rPr>
          <w:rFonts w:eastAsiaTheme="minorEastAsia" w:cstheme="minorBidi"/>
          <w:b w:val="0"/>
          <w:noProof/>
          <w:lang w:bidi="he-IL"/>
        </w:rPr>
        <w:tab/>
      </w:r>
      <w:r>
        <w:rPr>
          <w:noProof/>
        </w:rPr>
        <w:t>Beam Alignment and Localization</w:t>
      </w:r>
      <w:r>
        <w:rPr>
          <w:noProof/>
        </w:rPr>
        <w:tab/>
      </w:r>
      <w:r>
        <w:rPr>
          <w:noProof/>
        </w:rPr>
        <w:fldChar w:fldCharType="begin"/>
      </w:r>
      <w:r>
        <w:rPr>
          <w:noProof/>
        </w:rPr>
        <w:instrText xml:space="preserve"> PAGEREF _Toc321729358 \h </w:instrText>
      </w:r>
      <w:r>
        <w:rPr>
          <w:noProof/>
        </w:rPr>
      </w:r>
      <w:r>
        <w:rPr>
          <w:noProof/>
        </w:rPr>
        <w:fldChar w:fldCharType="separate"/>
      </w:r>
      <w:r>
        <w:rPr>
          <w:noProof/>
        </w:rPr>
        <w:t>24</w:t>
      </w:r>
      <w:r>
        <w:rPr>
          <w:noProof/>
        </w:rPr>
        <w:fldChar w:fldCharType="end"/>
      </w:r>
    </w:p>
    <w:p w14:paraId="1A15FBE3" w14:textId="77777777" w:rsidR="00E57C6B" w:rsidRDefault="00E57C6B">
      <w:pPr>
        <w:pStyle w:val="TOC3"/>
        <w:tabs>
          <w:tab w:val="left" w:pos="1200"/>
          <w:tab w:val="right" w:leader="dot" w:pos="9580"/>
        </w:tabs>
        <w:rPr>
          <w:rFonts w:eastAsiaTheme="minorEastAsia" w:cstheme="minorBidi"/>
          <w:noProof/>
          <w:lang w:bidi="he-IL"/>
        </w:rPr>
      </w:pPr>
      <w:r>
        <w:rPr>
          <w:noProof/>
        </w:rPr>
        <w:t>3.2.1</w:t>
      </w:r>
      <w:r>
        <w:rPr>
          <w:rFonts w:eastAsiaTheme="minorEastAsia" w:cstheme="minorBidi"/>
          <w:noProof/>
          <w:lang w:bidi="he-IL"/>
        </w:rPr>
        <w:tab/>
      </w:r>
      <w:r>
        <w:rPr>
          <w:noProof/>
        </w:rPr>
        <w:t>Initial Alignment</w:t>
      </w:r>
      <w:r>
        <w:rPr>
          <w:noProof/>
        </w:rPr>
        <w:tab/>
      </w:r>
      <w:r>
        <w:rPr>
          <w:noProof/>
        </w:rPr>
        <w:fldChar w:fldCharType="begin"/>
      </w:r>
      <w:r>
        <w:rPr>
          <w:noProof/>
        </w:rPr>
        <w:instrText xml:space="preserve"> PAGEREF _Toc321729359 \h </w:instrText>
      </w:r>
      <w:r>
        <w:rPr>
          <w:noProof/>
        </w:rPr>
      </w:r>
      <w:r>
        <w:rPr>
          <w:noProof/>
        </w:rPr>
        <w:fldChar w:fldCharType="separate"/>
      </w:r>
      <w:r>
        <w:rPr>
          <w:noProof/>
        </w:rPr>
        <w:t>25</w:t>
      </w:r>
      <w:r>
        <w:rPr>
          <w:noProof/>
        </w:rPr>
        <w:fldChar w:fldCharType="end"/>
      </w:r>
    </w:p>
    <w:p w14:paraId="586D0416" w14:textId="77777777" w:rsidR="00E57C6B" w:rsidRDefault="00E57C6B">
      <w:pPr>
        <w:pStyle w:val="TOC3"/>
        <w:tabs>
          <w:tab w:val="left" w:pos="1200"/>
          <w:tab w:val="right" w:leader="dot" w:pos="9580"/>
        </w:tabs>
        <w:rPr>
          <w:rFonts w:eastAsiaTheme="minorEastAsia" w:cstheme="minorBidi"/>
          <w:noProof/>
          <w:lang w:bidi="he-IL"/>
        </w:rPr>
      </w:pPr>
      <w:r>
        <w:rPr>
          <w:noProof/>
        </w:rPr>
        <w:t>3.2.2</w:t>
      </w:r>
      <w:r>
        <w:rPr>
          <w:rFonts w:eastAsiaTheme="minorEastAsia" w:cstheme="minorBidi"/>
          <w:noProof/>
          <w:lang w:bidi="he-IL"/>
        </w:rPr>
        <w:tab/>
      </w:r>
      <w:r>
        <w:rPr>
          <w:noProof/>
        </w:rPr>
        <w:t>Final Alignment</w:t>
      </w:r>
      <w:r>
        <w:rPr>
          <w:noProof/>
        </w:rPr>
        <w:tab/>
      </w:r>
      <w:r>
        <w:rPr>
          <w:noProof/>
        </w:rPr>
        <w:fldChar w:fldCharType="begin"/>
      </w:r>
      <w:r>
        <w:rPr>
          <w:noProof/>
        </w:rPr>
        <w:instrText xml:space="preserve"> PAGEREF _Toc321729360 \h </w:instrText>
      </w:r>
      <w:r>
        <w:rPr>
          <w:noProof/>
        </w:rPr>
      </w:r>
      <w:r>
        <w:rPr>
          <w:noProof/>
        </w:rPr>
        <w:fldChar w:fldCharType="separate"/>
      </w:r>
      <w:r>
        <w:rPr>
          <w:noProof/>
        </w:rPr>
        <w:t>26</w:t>
      </w:r>
      <w:r>
        <w:rPr>
          <w:noProof/>
        </w:rPr>
        <w:fldChar w:fldCharType="end"/>
      </w:r>
    </w:p>
    <w:p w14:paraId="6942AAEA"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4</w:t>
      </w:r>
      <w:r>
        <w:rPr>
          <w:rFonts w:eastAsiaTheme="minorEastAsia" w:cstheme="minorBidi"/>
          <w:b w:val="0"/>
          <w:noProof/>
          <w:sz w:val="22"/>
          <w:szCs w:val="22"/>
          <w:lang w:bidi="he-IL"/>
        </w:rPr>
        <w:tab/>
      </w:r>
      <w:r>
        <w:rPr>
          <w:noProof/>
        </w:rPr>
        <w:t>Transmitter Module</w:t>
      </w:r>
      <w:r>
        <w:rPr>
          <w:noProof/>
        </w:rPr>
        <w:tab/>
      </w:r>
      <w:r>
        <w:rPr>
          <w:noProof/>
        </w:rPr>
        <w:fldChar w:fldCharType="begin"/>
      </w:r>
      <w:r>
        <w:rPr>
          <w:noProof/>
        </w:rPr>
        <w:instrText xml:space="preserve"> PAGEREF _Toc321729361 \h </w:instrText>
      </w:r>
      <w:r>
        <w:rPr>
          <w:noProof/>
        </w:rPr>
      </w:r>
      <w:r>
        <w:rPr>
          <w:noProof/>
        </w:rPr>
        <w:fldChar w:fldCharType="separate"/>
      </w:r>
      <w:r>
        <w:rPr>
          <w:noProof/>
        </w:rPr>
        <w:t>27</w:t>
      </w:r>
      <w:r>
        <w:rPr>
          <w:noProof/>
        </w:rPr>
        <w:fldChar w:fldCharType="end"/>
      </w:r>
    </w:p>
    <w:p w14:paraId="3DA3B491" w14:textId="77777777" w:rsidR="00E57C6B" w:rsidRDefault="00E57C6B">
      <w:pPr>
        <w:pStyle w:val="TOC2"/>
        <w:tabs>
          <w:tab w:val="left" w:pos="960"/>
          <w:tab w:val="right" w:leader="dot" w:pos="9580"/>
        </w:tabs>
        <w:rPr>
          <w:rFonts w:eastAsiaTheme="minorEastAsia" w:cstheme="minorBidi"/>
          <w:b w:val="0"/>
          <w:noProof/>
          <w:lang w:bidi="he-IL"/>
        </w:rPr>
      </w:pPr>
      <w:r>
        <w:rPr>
          <w:noProof/>
        </w:rPr>
        <w:t>4.1</w:t>
      </w:r>
      <w:r>
        <w:rPr>
          <w:rFonts w:eastAsiaTheme="minorEastAsia" w:cstheme="minorBidi"/>
          <w:b w:val="0"/>
          <w:noProof/>
          <w:lang w:bidi="he-IL"/>
        </w:rPr>
        <w:tab/>
      </w:r>
      <w:r>
        <w:rPr>
          <w:noProof/>
        </w:rPr>
        <w:t>Laser</w:t>
      </w:r>
      <w:r>
        <w:rPr>
          <w:noProof/>
        </w:rPr>
        <w:tab/>
      </w:r>
      <w:r>
        <w:rPr>
          <w:noProof/>
        </w:rPr>
        <w:fldChar w:fldCharType="begin"/>
      </w:r>
      <w:r>
        <w:rPr>
          <w:noProof/>
        </w:rPr>
        <w:instrText xml:space="preserve"> PAGEREF _Toc321729362 \h </w:instrText>
      </w:r>
      <w:r>
        <w:rPr>
          <w:noProof/>
        </w:rPr>
      </w:r>
      <w:r>
        <w:rPr>
          <w:noProof/>
        </w:rPr>
        <w:fldChar w:fldCharType="separate"/>
      </w:r>
      <w:r>
        <w:rPr>
          <w:noProof/>
        </w:rPr>
        <w:t>28</w:t>
      </w:r>
      <w:r>
        <w:rPr>
          <w:noProof/>
        </w:rPr>
        <w:fldChar w:fldCharType="end"/>
      </w:r>
    </w:p>
    <w:p w14:paraId="4C52E52F" w14:textId="77777777" w:rsidR="00E57C6B" w:rsidRDefault="00E57C6B">
      <w:pPr>
        <w:pStyle w:val="TOC2"/>
        <w:tabs>
          <w:tab w:val="left" w:pos="960"/>
          <w:tab w:val="right" w:leader="dot" w:pos="9580"/>
        </w:tabs>
        <w:rPr>
          <w:rFonts w:eastAsiaTheme="minorEastAsia" w:cstheme="minorBidi"/>
          <w:b w:val="0"/>
          <w:noProof/>
          <w:lang w:bidi="he-IL"/>
        </w:rPr>
      </w:pPr>
      <w:r>
        <w:rPr>
          <w:noProof/>
        </w:rPr>
        <w:t>4.2</w:t>
      </w:r>
      <w:r>
        <w:rPr>
          <w:rFonts w:eastAsiaTheme="minorEastAsia" w:cstheme="minorBidi"/>
          <w:b w:val="0"/>
          <w:noProof/>
          <w:lang w:bidi="he-IL"/>
        </w:rPr>
        <w:tab/>
      </w:r>
      <w:r>
        <w:rPr>
          <w:noProof/>
        </w:rPr>
        <w:t>Acousto-Optic Modulator</w:t>
      </w:r>
      <w:r>
        <w:rPr>
          <w:noProof/>
        </w:rPr>
        <w:tab/>
      </w:r>
      <w:r>
        <w:rPr>
          <w:noProof/>
        </w:rPr>
        <w:fldChar w:fldCharType="begin"/>
      </w:r>
      <w:r>
        <w:rPr>
          <w:noProof/>
        </w:rPr>
        <w:instrText xml:space="preserve"> PAGEREF _Toc321729363 \h </w:instrText>
      </w:r>
      <w:r>
        <w:rPr>
          <w:noProof/>
        </w:rPr>
      </w:r>
      <w:r>
        <w:rPr>
          <w:noProof/>
        </w:rPr>
        <w:fldChar w:fldCharType="separate"/>
      </w:r>
      <w:r>
        <w:rPr>
          <w:noProof/>
        </w:rPr>
        <w:t>28</w:t>
      </w:r>
      <w:r>
        <w:rPr>
          <w:noProof/>
        </w:rPr>
        <w:fldChar w:fldCharType="end"/>
      </w:r>
    </w:p>
    <w:p w14:paraId="232F12FE" w14:textId="77777777" w:rsidR="00E57C6B" w:rsidRDefault="00E57C6B">
      <w:pPr>
        <w:pStyle w:val="TOC2"/>
        <w:tabs>
          <w:tab w:val="left" w:pos="960"/>
          <w:tab w:val="right" w:leader="dot" w:pos="9580"/>
        </w:tabs>
        <w:rPr>
          <w:rFonts w:eastAsiaTheme="minorEastAsia" w:cstheme="minorBidi"/>
          <w:b w:val="0"/>
          <w:noProof/>
          <w:lang w:bidi="he-IL"/>
        </w:rPr>
      </w:pPr>
      <w:r>
        <w:rPr>
          <w:noProof/>
        </w:rPr>
        <w:t>4.3</w:t>
      </w:r>
      <w:r>
        <w:rPr>
          <w:rFonts w:eastAsiaTheme="minorEastAsia" w:cstheme="minorBidi"/>
          <w:b w:val="0"/>
          <w:noProof/>
          <w:lang w:bidi="he-IL"/>
        </w:rPr>
        <w:tab/>
      </w:r>
      <w:r>
        <w:rPr>
          <w:noProof/>
        </w:rPr>
        <w:t>Internal Laser Power Sensors</w:t>
      </w:r>
      <w:r>
        <w:rPr>
          <w:noProof/>
        </w:rPr>
        <w:tab/>
      </w:r>
      <w:r>
        <w:rPr>
          <w:noProof/>
        </w:rPr>
        <w:fldChar w:fldCharType="begin"/>
      </w:r>
      <w:r>
        <w:rPr>
          <w:noProof/>
        </w:rPr>
        <w:instrText xml:space="preserve"> PAGEREF _Toc321729364 \h </w:instrText>
      </w:r>
      <w:r>
        <w:rPr>
          <w:noProof/>
        </w:rPr>
      </w:r>
      <w:r>
        <w:rPr>
          <w:noProof/>
        </w:rPr>
        <w:fldChar w:fldCharType="separate"/>
      </w:r>
      <w:r>
        <w:rPr>
          <w:noProof/>
        </w:rPr>
        <w:t>28</w:t>
      </w:r>
      <w:r>
        <w:rPr>
          <w:noProof/>
        </w:rPr>
        <w:fldChar w:fldCharType="end"/>
      </w:r>
    </w:p>
    <w:p w14:paraId="5FF868B9" w14:textId="77777777" w:rsidR="00E57C6B" w:rsidRDefault="00E57C6B">
      <w:pPr>
        <w:pStyle w:val="TOC2"/>
        <w:tabs>
          <w:tab w:val="left" w:pos="960"/>
          <w:tab w:val="right" w:leader="dot" w:pos="9580"/>
        </w:tabs>
        <w:rPr>
          <w:rFonts w:eastAsiaTheme="minorEastAsia" w:cstheme="minorBidi"/>
          <w:b w:val="0"/>
          <w:noProof/>
          <w:lang w:bidi="he-IL"/>
        </w:rPr>
      </w:pPr>
      <w:r>
        <w:rPr>
          <w:noProof/>
        </w:rPr>
        <w:t>4.4</w:t>
      </w:r>
      <w:r>
        <w:rPr>
          <w:rFonts w:eastAsiaTheme="minorEastAsia" w:cstheme="minorBidi"/>
          <w:b w:val="0"/>
          <w:noProof/>
          <w:lang w:bidi="he-IL"/>
        </w:rPr>
        <w:tab/>
      </w:r>
      <w:r>
        <w:rPr>
          <w:noProof/>
        </w:rPr>
        <w:t>Physical and Environmental Monitors</w:t>
      </w:r>
      <w:r>
        <w:rPr>
          <w:noProof/>
        </w:rPr>
        <w:tab/>
      </w:r>
      <w:r>
        <w:rPr>
          <w:noProof/>
        </w:rPr>
        <w:fldChar w:fldCharType="begin"/>
      </w:r>
      <w:r>
        <w:rPr>
          <w:noProof/>
        </w:rPr>
        <w:instrText xml:space="preserve"> PAGEREF _Toc321729365 \h </w:instrText>
      </w:r>
      <w:r>
        <w:rPr>
          <w:noProof/>
        </w:rPr>
      </w:r>
      <w:r>
        <w:rPr>
          <w:noProof/>
        </w:rPr>
        <w:fldChar w:fldCharType="separate"/>
      </w:r>
      <w:r>
        <w:rPr>
          <w:noProof/>
        </w:rPr>
        <w:t>29</w:t>
      </w:r>
      <w:r>
        <w:rPr>
          <w:noProof/>
        </w:rPr>
        <w:fldChar w:fldCharType="end"/>
      </w:r>
    </w:p>
    <w:p w14:paraId="57D661DD" w14:textId="77777777" w:rsidR="00E57C6B" w:rsidRDefault="00E57C6B">
      <w:pPr>
        <w:pStyle w:val="TOC2"/>
        <w:tabs>
          <w:tab w:val="left" w:pos="960"/>
          <w:tab w:val="right" w:leader="dot" w:pos="9580"/>
        </w:tabs>
        <w:rPr>
          <w:rFonts w:eastAsiaTheme="minorEastAsia" w:cstheme="minorBidi"/>
          <w:b w:val="0"/>
          <w:noProof/>
          <w:lang w:bidi="he-IL"/>
        </w:rPr>
      </w:pPr>
      <w:r>
        <w:rPr>
          <w:noProof/>
        </w:rPr>
        <w:t>4.5</w:t>
      </w:r>
      <w:r>
        <w:rPr>
          <w:rFonts w:eastAsiaTheme="minorEastAsia" w:cstheme="minorBidi"/>
          <w:b w:val="0"/>
          <w:noProof/>
          <w:lang w:bidi="he-IL"/>
        </w:rPr>
        <w:tab/>
      </w:r>
      <w:r>
        <w:rPr>
          <w:noProof/>
        </w:rPr>
        <w:t>Breadboard</w:t>
      </w:r>
      <w:r>
        <w:rPr>
          <w:noProof/>
        </w:rPr>
        <w:tab/>
      </w:r>
      <w:r>
        <w:rPr>
          <w:noProof/>
        </w:rPr>
        <w:fldChar w:fldCharType="begin"/>
      </w:r>
      <w:r>
        <w:rPr>
          <w:noProof/>
        </w:rPr>
        <w:instrText xml:space="preserve"> PAGEREF _Toc321729366 \h </w:instrText>
      </w:r>
      <w:r>
        <w:rPr>
          <w:noProof/>
        </w:rPr>
      </w:r>
      <w:r>
        <w:rPr>
          <w:noProof/>
        </w:rPr>
        <w:fldChar w:fldCharType="separate"/>
      </w:r>
      <w:r>
        <w:rPr>
          <w:noProof/>
        </w:rPr>
        <w:t>29</w:t>
      </w:r>
      <w:r>
        <w:rPr>
          <w:noProof/>
        </w:rPr>
        <w:fldChar w:fldCharType="end"/>
      </w:r>
    </w:p>
    <w:p w14:paraId="56754143" w14:textId="77777777" w:rsidR="00E57C6B" w:rsidRDefault="00E57C6B">
      <w:pPr>
        <w:pStyle w:val="TOC2"/>
        <w:tabs>
          <w:tab w:val="left" w:pos="960"/>
          <w:tab w:val="right" w:leader="dot" w:pos="9580"/>
        </w:tabs>
        <w:rPr>
          <w:rFonts w:eastAsiaTheme="minorEastAsia" w:cstheme="minorBidi"/>
          <w:b w:val="0"/>
          <w:noProof/>
          <w:lang w:bidi="he-IL"/>
        </w:rPr>
      </w:pPr>
      <w:r>
        <w:rPr>
          <w:noProof/>
        </w:rPr>
        <w:t>4.6</w:t>
      </w:r>
      <w:r>
        <w:rPr>
          <w:rFonts w:eastAsiaTheme="minorEastAsia" w:cstheme="minorBidi"/>
          <w:b w:val="0"/>
          <w:noProof/>
          <w:lang w:bidi="he-IL"/>
        </w:rPr>
        <w:tab/>
      </w:r>
      <w:r>
        <w:rPr>
          <w:noProof/>
        </w:rPr>
        <w:t>Enclosures</w:t>
      </w:r>
      <w:r>
        <w:rPr>
          <w:noProof/>
        </w:rPr>
        <w:tab/>
      </w:r>
      <w:r>
        <w:rPr>
          <w:noProof/>
        </w:rPr>
        <w:fldChar w:fldCharType="begin"/>
      </w:r>
      <w:r>
        <w:rPr>
          <w:noProof/>
        </w:rPr>
        <w:instrText xml:space="preserve"> PAGEREF _Toc321729367 \h </w:instrText>
      </w:r>
      <w:r>
        <w:rPr>
          <w:noProof/>
        </w:rPr>
      </w:r>
      <w:r>
        <w:rPr>
          <w:noProof/>
        </w:rPr>
        <w:fldChar w:fldCharType="separate"/>
      </w:r>
      <w:r>
        <w:rPr>
          <w:noProof/>
        </w:rPr>
        <w:t>29</w:t>
      </w:r>
      <w:r>
        <w:rPr>
          <w:noProof/>
        </w:rPr>
        <w:fldChar w:fldCharType="end"/>
      </w:r>
    </w:p>
    <w:p w14:paraId="6B558958" w14:textId="77777777" w:rsidR="00E57C6B" w:rsidRDefault="00E57C6B">
      <w:pPr>
        <w:pStyle w:val="TOC2"/>
        <w:tabs>
          <w:tab w:val="left" w:pos="960"/>
          <w:tab w:val="right" w:leader="dot" w:pos="9580"/>
        </w:tabs>
        <w:rPr>
          <w:rFonts w:eastAsiaTheme="minorEastAsia" w:cstheme="minorBidi"/>
          <w:b w:val="0"/>
          <w:noProof/>
          <w:lang w:bidi="he-IL"/>
        </w:rPr>
      </w:pPr>
      <w:r>
        <w:rPr>
          <w:noProof/>
        </w:rPr>
        <w:t>4.7</w:t>
      </w:r>
      <w:r>
        <w:rPr>
          <w:rFonts w:eastAsiaTheme="minorEastAsia" w:cstheme="minorBidi"/>
          <w:b w:val="0"/>
          <w:noProof/>
          <w:lang w:bidi="he-IL"/>
        </w:rPr>
        <w:tab/>
      </w:r>
      <w:r>
        <w:rPr>
          <w:noProof/>
        </w:rPr>
        <w:t>Viewport Protectors</w:t>
      </w:r>
      <w:r>
        <w:rPr>
          <w:noProof/>
        </w:rPr>
        <w:tab/>
      </w:r>
      <w:r>
        <w:rPr>
          <w:noProof/>
        </w:rPr>
        <w:fldChar w:fldCharType="begin"/>
      </w:r>
      <w:r>
        <w:rPr>
          <w:noProof/>
        </w:rPr>
        <w:instrText xml:space="preserve"> PAGEREF _Toc321729368 \h </w:instrText>
      </w:r>
      <w:r>
        <w:rPr>
          <w:noProof/>
        </w:rPr>
      </w:r>
      <w:r>
        <w:rPr>
          <w:noProof/>
        </w:rPr>
        <w:fldChar w:fldCharType="separate"/>
      </w:r>
      <w:r>
        <w:rPr>
          <w:noProof/>
        </w:rPr>
        <w:t>29</w:t>
      </w:r>
      <w:r>
        <w:rPr>
          <w:noProof/>
        </w:rPr>
        <w:fldChar w:fldCharType="end"/>
      </w:r>
    </w:p>
    <w:p w14:paraId="4B82E549" w14:textId="77777777" w:rsidR="00E57C6B" w:rsidRDefault="00E57C6B">
      <w:pPr>
        <w:pStyle w:val="TOC2"/>
        <w:tabs>
          <w:tab w:val="left" w:pos="960"/>
          <w:tab w:val="right" w:leader="dot" w:pos="9580"/>
        </w:tabs>
        <w:rPr>
          <w:rFonts w:eastAsiaTheme="minorEastAsia" w:cstheme="minorBidi"/>
          <w:b w:val="0"/>
          <w:noProof/>
          <w:lang w:bidi="he-IL"/>
        </w:rPr>
      </w:pPr>
      <w:r>
        <w:rPr>
          <w:noProof/>
        </w:rPr>
        <w:t>4.8</w:t>
      </w:r>
      <w:r>
        <w:rPr>
          <w:rFonts w:eastAsiaTheme="minorEastAsia" w:cstheme="minorBidi"/>
          <w:b w:val="0"/>
          <w:noProof/>
          <w:lang w:bidi="he-IL"/>
        </w:rPr>
        <w:tab/>
      </w:r>
      <w:r>
        <w:rPr>
          <w:noProof/>
        </w:rPr>
        <w:t>Transmitter Module Pylon</w:t>
      </w:r>
      <w:r>
        <w:rPr>
          <w:noProof/>
        </w:rPr>
        <w:tab/>
      </w:r>
      <w:r>
        <w:rPr>
          <w:noProof/>
        </w:rPr>
        <w:fldChar w:fldCharType="begin"/>
      </w:r>
      <w:r>
        <w:rPr>
          <w:noProof/>
        </w:rPr>
        <w:instrText xml:space="preserve"> PAGEREF _Toc321729369 \h </w:instrText>
      </w:r>
      <w:r>
        <w:rPr>
          <w:noProof/>
        </w:rPr>
      </w:r>
      <w:r>
        <w:rPr>
          <w:noProof/>
        </w:rPr>
        <w:fldChar w:fldCharType="separate"/>
      </w:r>
      <w:r>
        <w:rPr>
          <w:noProof/>
        </w:rPr>
        <w:t>30</w:t>
      </w:r>
      <w:r>
        <w:rPr>
          <w:noProof/>
        </w:rPr>
        <w:fldChar w:fldCharType="end"/>
      </w:r>
    </w:p>
    <w:p w14:paraId="77A30625"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5</w:t>
      </w:r>
      <w:r>
        <w:rPr>
          <w:rFonts w:eastAsiaTheme="minorEastAsia" w:cstheme="minorBidi"/>
          <w:b w:val="0"/>
          <w:noProof/>
          <w:sz w:val="22"/>
          <w:szCs w:val="22"/>
          <w:lang w:bidi="he-IL"/>
        </w:rPr>
        <w:tab/>
      </w:r>
      <w:r>
        <w:rPr>
          <w:noProof/>
        </w:rPr>
        <w:t>Photon Calibrator Receiver Module</w:t>
      </w:r>
      <w:r>
        <w:rPr>
          <w:noProof/>
        </w:rPr>
        <w:tab/>
      </w:r>
      <w:r>
        <w:rPr>
          <w:noProof/>
        </w:rPr>
        <w:fldChar w:fldCharType="begin"/>
      </w:r>
      <w:r>
        <w:rPr>
          <w:noProof/>
        </w:rPr>
        <w:instrText xml:space="preserve"> PAGEREF _Toc321729370 \h </w:instrText>
      </w:r>
      <w:r>
        <w:rPr>
          <w:noProof/>
        </w:rPr>
      </w:r>
      <w:r>
        <w:rPr>
          <w:noProof/>
        </w:rPr>
        <w:fldChar w:fldCharType="separate"/>
      </w:r>
      <w:r>
        <w:rPr>
          <w:noProof/>
        </w:rPr>
        <w:t>30</w:t>
      </w:r>
      <w:r>
        <w:rPr>
          <w:noProof/>
        </w:rPr>
        <w:fldChar w:fldCharType="end"/>
      </w:r>
    </w:p>
    <w:p w14:paraId="442FB779" w14:textId="77777777" w:rsidR="00E57C6B" w:rsidRDefault="00E57C6B">
      <w:pPr>
        <w:pStyle w:val="TOC2"/>
        <w:tabs>
          <w:tab w:val="left" w:pos="960"/>
          <w:tab w:val="right" w:leader="dot" w:pos="9580"/>
        </w:tabs>
        <w:rPr>
          <w:rFonts w:eastAsiaTheme="minorEastAsia" w:cstheme="minorBidi"/>
          <w:b w:val="0"/>
          <w:noProof/>
          <w:lang w:bidi="he-IL"/>
        </w:rPr>
      </w:pPr>
      <w:r>
        <w:rPr>
          <w:noProof/>
        </w:rPr>
        <w:t>5.1</w:t>
      </w:r>
      <w:r>
        <w:rPr>
          <w:rFonts w:eastAsiaTheme="minorEastAsia" w:cstheme="minorBidi"/>
          <w:b w:val="0"/>
          <w:noProof/>
          <w:lang w:bidi="he-IL"/>
        </w:rPr>
        <w:tab/>
      </w:r>
      <w:r>
        <w:rPr>
          <w:noProof/>
        </w:rPr>
        <w:t>Internal Power Sensor</w:t>
      </w:r>
      <w:r>
        <w:rPr>
          <w:noProof/>
        </w:rPr>
        <w:tab/>
      </w:r>
      <w:r>
        <w:rPr>
          <w:noProof/>
        </w:rPr>
        <w:fldChar w:fldCharType="begin"/>
      </w:r>
      <w:r>
        <w:rPr>
          <w:noProof/>
        </w:rPr>
        <w:instrText xml:space="preserve"> PAGEREF _Toc321729371 \h </w:instrText>
      </w:r>
      <w:r>
        <w:rPr>
          <w:noProof/>
        </w:rPr>
      </w:r>
      <w:r>
        <w:rPr>
          <w:noProof/>
        </w:rPr>
        <w:fldChar w:fldCharType="separate"/>
      </w:r>
      <w:r>
        <w:rPr>
          <w:noProof/>
        </w:rPr>
        <w:t>30</w:t>
      </w:r>
      <w:r>
        <w:rPr>
          <w:noProof/>
        </w:rPr>
        <w:fldChar w:fldCharType="end"/>
      </w:r>
    </w:p>
    <w:p w14:paraId="759E645C" w14:textId="77777777" w:rsidR="00E57C6B" w:rsidRDefault="00E57C6B">
      <w:pPr>
        <w:pStyle w:val="TOC2"/>
        <w:tabs>
          <w:tab w:val="left" w:pos="960"/>
          <w:tab w:val="right" w:leader="dot" w:pos="9580"/>
        </w:tabs>
        <w:rPr>
          <w:rFonts w:eastAsiaTheme="minorEastAsia" w:cstheme="minorBidi"/>
          <w:b w:val="0"/>
          <w:noProof/>
          <w:lang w:bidi="he-IL"/>
        </w:rPr>
      </w:pPr>
      <w:r>
        <w:rPr>
          <w:noProof/>
        </w:rPr>
        <w:t>5.2</w:t>
      </w:r>
      <w:r>
        <w:rPr>
          <w:rFonts w:eastAsiaTheme="minorEastAsia" w:cstheme="minorBidi"/>
          <w:b w:val="0"/>
          <w:noProof/>
          <w:lang w:bidi="he-IL"/>
        </w:rPr>
        <w:tab/>
      </w:r>
      <w:r>
        <w:rPr>
          <w:noProof/>
        </w:rPr>
        <w:t>Calibration of the Photodetector</w:t>
      </w:r>
      <w:r>
        <w:rPr>
          <w:noProof/>
        </w:rPr>
        <w:tab/>
      </w:r>
      <w:r>
        <w:rPr>
          <w:noProof/>
        </w:rPr>
        <w:fldChar w:fldCharType="begin"/>
      </w:r>
      <w:r>
        <w:rPr>
          <w:noProof/>
        </w:rPr>
        <w:instrText xml:space="preserve"> PAGEREF _Toc321729372 \h </w:instrText>
      </w:r>
      <w:r>
        <w:rPr>
          <w:noProof/>
        </w:rPr>
      </w:r>
      <w:r>
        <w:rPr>
          <w:noProof/>
        </w:rPr>
        <w:fldChar w:fldCharType="separate"/>
      </w:r>
      <w:r>
        <w:rPr>
          <w:noProof/>
        </w:rPr>
        <w:t>31</w:t>
      </w:r>
      <w:r>
        <w:rPr>
          <w:noProof/>
        </w:rPr>
        <w:fldChar w:fldCharType="end"/>
      </w:r>
    </w:p>
    <w:p w14:paraId="587D2198" w14:textId="77777777" w:rsidR="00E57C6B" w:rsidRDefault="00E57C6B">
      <w:pPr>
        <w:pStyle w:val="TOC2"/>
        <w:tabs>
          <w:tab w:val="left" w:pos="960"/>
          <w:tab w:val="right" w:leader="dot" w:pos="9580"/>
        </w:tabs>
        <w:rPr>
          <w:rFonts w:eastAsiaTheme="minorEastAsia" w:cstheme="minorBidi"/>
          <w:b w:val="0"/>
          <w:noProof/>
          <w:lang w:bidi="he-IL"/>
        </w:rPr>
      </w:pPr>
      <w:r>
        <w:rPr>
          <w:noProof/>
        </w:rPr>
        <w:t>5.3</w:t>
      </w:r>
      <w:r>
        <w:rPr>
          <w:rFonts w:eastAsiaTheme="minorEastAsia" w:cstheme="minorBidi"/>
          <w:b w:val="0"/>
          <w:noProof/>
          <w:lang w:bidi="he-IL"/>
        </w:rPr>
        <w:tab/>
      </w:r>
      <w:r>
        <w:rPr>
          <w:noProof/>
        </w:rPr>
        <w:t>Receiver Module Pylon</w:t>
      </w:r>
      <w:r>
        <w:rPr>
          <w:noProof/>
        </w:rPr>
        <w:tab/>
      </w:r>
      <w:r>
        <w:rPr>
          <w:noProof/>
        </w:rPr>
        <w:fldChar w:fldCharType="begin"/>
      </w:r>
      <w:r>
        <w:rPr>
          <w:noProof/>
        </w:rPr>
        <w:instrText xml:space="preserve"> PAGEREF _Toc321729373 \h </w:instrText>
      </w:r>
      <w:r>
        <w:rPr>
          <w:noProof/>
        </w:rPr>
      </w:r>
      <w:r>
        <w:rPr>
          <w:noProof/>
        </w:rPr>
        <w:fldChar w:fldCharType="separate"/>
      </w:r>
      <w:r>
        <w:rPr>
          <w:noProof/>
        </w:rPr>
        <w:t>31</w:t>
      </w:r>
      <w:r>
        <w:rPr>
          <w:noProof/>
        </w:rPr>
        <w:fldChar w:fldCharType="end"/>
      </w:r>
    </w:p>
    <w:p w14:paraId="537EADF1"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6</w:t>
      </w:r>
      <w:r>
        <w:rPr>
          <w:rFonts w:eastAsiaTheme="minorEastAsia" w:cstheme="minorBidi"/>
          <w:b w:val="0"/>
          <w:noProof/>
          <w:sz w:val="22"/>
          <w:szCs w:val="22"/>
          <w:lang w:bidi="he-IL"/>
        </w:rPr>
        <w:tab/>
      </w:r>
      <w:r>
        <w:rPr>
          <w:noProof/>
        </w:rPr>
        <w:t>Absolute Laser Power Calibration</w:t>
      </w:r>
      <w:r>
        <w:rPr>
          <w:noProof/>
        </w:rPr>
        <w:tab/>
      </w:r>
      <w:r>
        <w:rPr>
          <w:noProof/>
        </w:rPr>
        <w:fldChar w:fldCharType="begin"/>
      </w:r>
      <w:r>
        <w:rPr>
          <w:noProof/>
        </w:rPr>
        <w:instrText xml:space="preserve"> PAGEREF _Toc321729374 \h </w:instrText>
      </w:r>
      <w:r>
        <w:rPr>
          <w:noProof/>
        </w:rPr>
      </w:r>
      <w:r>
        <w:rPr>
          <w:noProof/>
        </w:rPr>
        <w:fldChar w:fldCharType="separate"/>
      </w:r>
      <w:r>
        <w:rPr>
          <w:noProof/>
        </w:rPr>
        <w:t>32</w:t>
      </w:r>
      <w:r>
        <w:rPr>
          <w:noProof/>
        </w:rPr>
        <w:fldChar w:fldCharType="end"/>
      </w:r>
    </w:p>
    <w:p w14:paraId="3DE3DBB4" w14:textId="77777777" w:rsidR="00E57C6B" w:rsidRDefault="00E57C6B">
      <w:pPr>
        <w:pStyle w:val="TOC2"/>
        <w:tabs>
          <w:tab w:val="left" w:pos="960"/>
          <w:tab w:val="right" w:leader="dot" w:pos="9580"/>
        </w:tabs>
        <w:rPr>
          <w:rFonts w:eastAsiaTheme="minorEastAsia" w:cstheme="minorBidi"/>
          <w:b w:val="0"/>
          <w:noProof/>
          <w:lang w:bidi="he-IL"/>
        </w:rPr>
      </w:pPr>
      <w:r>
        <w:rPr>
          <w:noProof/>
        </w:rPr>
        <w:t>6.1</w:t>
      </w:r>
      <w:r>
        <w:rPr>
          <w:rFonts w:eastAsiaTheme="minorEastAsia" w:cstheme="minorBidi"/>
          <w:b w:val="0"/>
          <w:noProof/>
          <w:lang w:bidi="he-IL"/>
        </w:rPr>
        <w:tab/>
      </w:r>
      <w:r>
        <w:rPr>
          <w:noProof/>
        </w:rPr>
        <w:t>The Gold Standard Laser Power Sensor</w:t>
      </w:r>
      <w:r>
        <w:rPr>
          <w:noProof/>
        </w:rPr>
        <w:tab/>
      </w:r>
      <w:r>
        <w:rPr>
          <w:noProof/>
        </w:rPr>
        <w:fldChar w:fldCharType="begin"/>
      </w:r>
      <w:r>
        <w:rPr>
          <w:noProof/>
        </w:rPr>
        <w:instrText xml:space="preserve"> PAGEREF _Toc321729375 \h </w:instrText>
      </w:r>
      <w:r>
        <w:rPr>
          <w:noProof/>
        </w:rPr>
      </w:r>
      <w:r>
        <w:rPr>
          <w:noProof/>
        </w:rPr>
        <w:fldChar w:fldCharType="separate"/>
      </w:r>
      <w:r>
        <w:rPr>
          <w:noProof/>
        </w:rPr>
        <w:t>32</w:t>
      </w:r>
      <w:r>
        <w:rPr>
          <w:noProof/>
        </w:rPr>
        <w:fldChar w:fldCharType="end"/>
      </w:r>
    </w:p>
    <w:p w14:paraId="69706A78" w14:textId="77777777" w:rsidR="00E57C6B" w:rsidRDefault="00E57C6B">
      <w:pPr>
        <w:pStyle w:val="TOC2"/>
        <w:tabs>
          <w:tab w:val="left" w:pos="960"/>
          <w:tab w:val="right" w:leader="dot" w:pos="9580"/>
        </w:tabs>
        <w:rPr>
          <w:rFonts w:eastAsiaTheme="minorEastAsia" w:cstheme="minorBidi"/>
          <w:b w:val="0"/>
          <w:noProof/>
          <w:lang w:bidi="he-IL"/>
        </w:rPr>
      </w:pPr>
      <w:r>
        <w:rPr>
          <w:noProof/>
        </w:rPr>
        <w:t>6.2</w:t>
      </w:r>
      <w:r>
        <w:rPr>
          <w:rFonts w:eastAsiaTheme="minorEastAsia" w:cstheme="minorBidi"/>
          <w:b w:val="0"/>
          <w:noProof/>
          <w:lang w:bidi="he-IL"/>
        </w:rPr>
        <w:tab/>
      </w:r>
      <w:r>
        <w:rPr>
          <w:noProof/>
        </w:rPr>
        <w:t>The Working Standard Laser Power Sensors</w:t>
      </w:r>
      <w:r>
        <w:rPr>
          <w:noProof/>
        </w:rPr>
        <w:tab/>
      </w:r>
      <w:r>
        <w:rPr>
          <w:noProof/>
        </w:rPr>
        <w:fldChar w:fldCharType="begin"/>
      </w:r>
      <w:r>
        <w:rPr>
          <w:noProof/>
        </w:rPr>
        <w:instrText xml:space="preserve"> PAGEREF _Toc321729376 \h </w:instrText>
      </w:r>
      <w:r>
        <w:rPr>
          <w:noProof/>
        </w:rPr>
      </w:r>
      <w:r>
        <w:rPr>
          <w:noProof/>
        </w:rPr>
        <w:fldChar w:fldCharType="separate"/>
      </w:r>
      <w:r>
        <w:rPr>
          <w:noProof/>
        </w:rPr>
        <w:t>33</w:t>
      </w:r>
      <w:r>
        <w:rPr>
          <w:noProof/>
        </w:rPr>
        <w:fldChar w:fldCharType="end"/>
      </w:r>
    </w:p>
    <w:p w14:paraId="18B174E2"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7</w:t>
      </w:r>
      <w:r>
        <w:rPr>
          <w:rFonts w:eastAsiaTheme="minorEastAsia" w:cstheme="minorBidi"/>
          <w:b w:val="0"/>
          <w:noProof/>
          <w:sz w:val="22"/>
          <w:szCs w:val="22"/>
          <w:lang w:bidi="he-IL"/>
        </w:rPr>
        <w:tab/>
      </w:r>
      <w:r>
        <w:rPr>
          <w:noProof/>
        </w:rPr>
        <w:t>Calibration Procedures</w:t>
      </w:r>
      <w:r>
        <w:rPr>
          <w:noProof/>
        </w:rPr>
        <w:tab/>
      </w:r>
      <w:r>
        <w:rPr>
          <w:noProof/>
        </w:rPr>
        <w:fldChar w:fldCharType="begin"/>
      </w:r>
      <w:r>
        <w:rPr>
          <w:noProof/>
        </w:rPr>
        <w:instrText xml:space="preserve"> PAGEREF _Toc321729377 \h </w:instrText>
      </w:r>
      <w:r>
        <w:rPr>
          <w:noProof/>
        </w:rPr>
      </w:r>
      <w:r>
        <w:rPr>
          <w:noProof/>
        </w:rPr>
        <w:fldChar w:fldCharType="separate"/>
      </w:r>
      <w:r>
        <w:rPr>
          <w:noProof/>
        </w:rPr>
        <w:t>34</w:t>
      </w:r>
      <w:r>
        <w:rPr>
          <w:noProof/>
        </w:rPr>
        <w:fldChar w:fldCharType="end"/>
      </w:r>
    </w:p>
    <w:p w14:paraId="6ADDBC2B" w14:textId="77777777" w:rsidR="00E57C6B" w:rsidRDefault="00E57C6B">
      <w:pPr>
        <w:pStyle w:val="TOC2"/>
        <w:tabs>
          <w:tab w:val="left" w:pos="960"/>
          <w:tab w:val="right" w:leader="dot" w:pos="9580"/>
        </w:tabs>
        <w:rPr>
          <w:rFonts w:eastAsiaTheme="minorEastAsia" w:cstheme="minorBidi"/>
          <w:b w:val="0"/>
          <w:noProof/>
          <w:lang w:bidi="he-IL"/>
        </w:rPr>
      </w:pPr>
      <w:r>
        <w:rPr>
          <w:noProof/>
        </w:rPr>
        <w:t>7.1</w:t>
      </w:r>
      <w:r>
        <w:rPr>
          <w:rFonts w:eastAsiaTheme="minorEastAsia" w:cstheme="minorBidi"/>
          <w:b w:val="0"/>
          <w:noProof/>
          <w:lang w:bidi="he-IL"/>
        </w:rPr>
        <w:tab/>
      </w:r>
      <w:r>
        <w:rPr>
          <w:noProof/>
        </w:rPr>
        <w:t>Calibration of the Working Standard</w:t>
      </w:r>
      <w:r>
        <w:rPr>
          <w:noProof/>
        </w:rPr>
        <w:tab/>
      </w:r>
      <w:r>
        <w:rPr>
          <w:noProof/>
        </w:rPr>
        <w:fldChar w:fldCharType="begin"/>
      </w:r>
      <w:r>
        <w:rPr>
          <w:noProof/>
        </w:rPr>
        <w:instrText xml:space="preserve"> PAGEREF _Toc321729378 \h </w:instrText>
      </w:r>
      <w:r>
        <w:rPr>
          <w:noProof/>
        </w:rPr>
      </w:r>
      <w:r>
        <w:rPr>
          <w:noProof/>
        </w:rPr>
        <w:fldChar w:fldCharType="separate"/>
      </w:r>
      <w:r>
        <w:rPr>
          <w:noProof/>
        </w:rPr>
        <w:t>34</w:t>
      </w:r>
      <w:r>
        <w:rPr>
          <w:noProof/>
        </w:rPr>
        <w:fldChar w:fldCharType="end"/>
      </w:r>
    </w:p>
    <w:p w14:paraId="5788B50E" w14:textId="77777777" w:rsidR="00E57C6B" w:rsidRDefault="00E57C6B">
      <w:pPr>
        <w:pStyle w:val="TOC2"/>
        <w:tabs>
          <w:tab w:val="left" w:pos="960"/>
          <w:tab w:val="right" w:leader="dot" w:pos="9580"/>
        </w:tabs>
        <w:rPr>
          <w:rFonts w:eastAsiaTheme="minorEastAsia" w:cstheme="minorBidi"/>
          <w:b w:val="0"/>
          <w:noProof/>
          <w:lang w:bidi="he-IL"/>
        </w:rPr>
      </w:pPr>
      <w:r>
        <w:rPr>
          <w:noProof/>
        </w:rPr>
        <w:t>7.2</w:t>
      </w:r>
      <w:r>
        <w:rPr>
          <w:rFonts w:eastAsiaTheme="minorEastAsia" w:cstheme="minorBidi"/>
          <w:b w:val="0"/>
          <w:noProof/>
          <w:lang w:bidi="he-IL"/>
        </w:rPr>
        <w:tab/>
      </w:r>
      <w:r>
        <w:rPr>
          <w:noProof/>
        </w:rPr>
        <w:t>Calibration of Transmitter and Receiver Module Power Sensors</w:t>
      </w:r>
      <w:r>
        <w:rPr>
          <w:noProof/>
        </w:rPr>
        <w:tab/>
      </w:r>
      <w:r>
        <w:rPr>
          <w:noProof/>
        </w:rPr>
        <w:fldChar w:fldCharType="begin"/>
      </w:r>
      <w:r>
        <w:rPr>
          <w:noProof/>
        </w:rPr>
        <w:instrText xml:space="preserve"> PAGEREF _Toc321729379 \h </w:instrText>
      </w:r>
      <w:r>
        <w:rPr>
          <w:noProof/>
        </w:rPr>
      </w:r>
      <w:r>
        <w:rPr>
          <w:noProof/>
        </w:rPr>
        <w:fldChar w:fldCharType="separate"/>
      </w:r>
      <w:r>
        <w:rPr>
          <w:noProof/>
        </w:rPr>
        <w:t>36</w:t>
      </w:r>
      <w:r>
        <w:rPr>
          <w:noProof/>
        </w:rPr>
        <w:fldChar w:fldCharType="end"/>
      </w:r>
    </w:p>
    <w:p w14:paraId="3296C875" w14:textId="77777777" w:rsidR="00E57C6B" w:rsidRDefault="00E57C6B">
      <w:pPr>
        <w:pStyle w:val="TOC3"/>
        <w:tabs>
          <w:tab w:val="left" w:pos="1200"/>
          <w:tab w:val="right" w:leader="dot" w:pos="9580"/>
        </w:tabs>
        <w:rPr>
          <w:rFonts w:eastAsiaTheme="minorEastAsia" w:cstheme="minorBidi"/>
          <w:noProof/>
          <w:lang w:bidi="he-IL"/>
        </w:rPr>
      </w:pPr>
      <w:r>
        <w:rPr>
          <w:noProof/>
        </w:rPr>
        <w:lastRenderedPageBreak/>
        <w:t>7.2.1</w:t>
      </w:r>
      <w:r>
        <w:rPr>
          <w:rFonts w:eastAsiaTheme="minorEastAsia" w:cstheme="minorBidi"/>
          <w:noProof/>
          <w:lang w:bidi="he-IL"/>
        </w:rPr>
        <w:tab/>
      </w:r>
      <w:r>
        <w:rPr>
          <w:noProof/>
        </w:rPr>
        <w:t>Frequency of Calibration</w:t>
      </w:r>
      <w:r>
        <w:rPr>
          <w:noProof/>
        </w:rPr>
        <w:tab/>
      </w:r>
      <w:r>
        <w:rPr>
          <w:noProof/>
        </w:rPr>
        <w:fldChar w:fldCharType="begin"/>
      </w:r>
      <w:r>
        <w:rPr>
          <w:noProof/>
        </w:rPr>
        <w:instrText xml:space="preserve"> PAGEREF _Toc321729380 \h </w:instrText>
      </w:r>
      <w:r>
        <w:rPr>
          <w:noProof/>
        </w:rPr>
      </w:r>
      <w:r>
        <w:rPr>
          <w:noProof/>
        </w:rPr>
        <w:fldChar w:fldCharType="separate"/>
      </w:r>
      <w:r>
        <w:rPr>
          <w:noProof/>
        </w:rPr>
        <w:t>36</w:t>
      </w:r>
      <w:r>
        <w:rPr>
          <w:noProof/>
        </w:rPr>
        <w:fldChar w:fldCharType="end"/>
      </w:r>
    </w:p>
    <w:p w14:paraId="5D94F955"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8</w:t>
      </w:r>
      <w:r>
        <w:rPr>
          <w:rFonts w:eastAsiaTheme="minorEastAsia" w:cstheme="minorBidi"/>
          <w:b w:val="0"/>
          <w:noProof/>
          <w:sz w:val="22"/>
          <w:szCs w:val="22"/>
          <w:lang w:bidi="he-IL"/>
        </w:rPr>
        <w:tab/>
      </w:r>
      <w:r>
        <w:rPr>
          <w:noProof/>
        </w:rPr>
        <w:t>Failure Modes and Hazards</w:t>
      </w:r>
      <w:r>
        <w:rPr>
          <w:noProof/>
        </w:rPr>
        <w:tab/>
      </w:r>
      <w:r>
        <w:rPr>
          <w:noProof/>
        </w:rPr>
        <w:fldChar w:fldCharType="begin"/>
      </w:r>
      <w:r>
        <w:rPr>
          <w:noProof/>
        </w:rPr>
        <w:instrText xml:space="preserve"> PAGEREF _Toc321729381 \h </w:instrText>
      </w:r>
      <w:r>
        <w:rPr>
          <w:noProof/>
        </w:rPr>
      </w:r>
      <w:r>
        <w:rPr>
          <w:noProof/>
        </w:rPr>
        <w:fldChar w:fldCharType="separate"/>
      </w:r>
      <w:r>
        <w:rPr>
          <w:noProof/>
        </w:rPr>
        <w:t>36</w:t>
      </w:r>
      <w:r>
        <w:rPr>
          <w:noProof/>
        </w:rPr>
        <w:fldChar w:fldCharType="end"/>
      </w:r>
    </w:p>
    <w:p w14:paraId="372E2100" w14:textId="77777777" w:rsidR="00E57C6B" w:rsidRDefault="00E57C6B">
      <w:pPr>
        <w:pStyle w:val="TOC2"/>
        <w:tabs>
          <w:tab w:val="left" w:pos="960"/>
          <w:tab w:val="right" w:leader="dot" w:pos="9580"/>
        </w:tabs>
        <w:rPr>
          <w:rFonts w:eastAsiaTheme="minorEastAsia" w:cstheme="minorBidi"/>
          <w:b w:val="0"/>
          <w:noProof/>
          <w:lang w:bidi="he-IL"/>
        </w:rPr>
      </w:pPr>
      <w:r>
        <w:rPr>
          <w:noProof/>
        </w:rPr>
        <w:t>8.1</w:t>
      </w:r>
      <w:r>
        <w:rPr>
          <w:rFonts w:eastAsiaTheme="minorEastAsia" w:cstheme="minorBidi"/>
          <w:b w:val="0"/>
          <w:noProof/>
          <w:lang w:bidi="he-IL"/>
        </w:rPr>
        <w:tab/>
      </w:r>
      <w:r>
        <w:rPr>
          <w:noProof/>
        </w:rPr>
        <w:t>Internal Photodetector Fails</w:t>
      </w:r>
      <w:r>
        <w:rPr>
          <w:noProof/>
        </w:rPr>
        <w:tab/>
      </w:r>
      <w:r>
        <w:rPr>
          <w:noProof/>
        </w:rPr>
        <w:fldChar w:fldCharType="begin"/>
      </w:r>
      <w:r>
        <w:rPr>
          <w:noProof/>
        </w:rPr>
        <w:instrText xml:space="preserve"> PAGEREF _Toc321729382 \h </w:instrText>
      </w:r>
      <w:r>
        <w:rPr>
          <w:noProof/>
        </w:rPr>
      </w:r>
      <w:r>
        <w:rPr>
          <w:noProof/>
        </w:rPr>
        <w:fldChar w:fldCharType="separate"/>
      </w:r>
      <w:r>
        <w:rPr>
          <w:noProof/>
        </w:rPr>
        <w:t>36</w:t>
      </w:r>
      <w:r>
        <w:rPr>
          <w:noProof/>
        </w:rPr>
        <w:fldChar w:fldCharType="end"/>
      </w:r>
    </w:p>
    <w:p w14:paraId="7FB4BEC9" w14:textId="77777777" w:rsidR="00E57C6B" w:rsidRDefault="00E57C6B">
      <w:pPr>
        <w:pStyle w:val="TOC2"/>
        <w:tabs>
          <w:tab w:val="left" w:pos="960"/>
          <w:tab w:val="right" w:leader="dot" w:pos="9580"/>
        </w:tabs>
        <w:rPr>
          <w:rFonts w:eastAsiaTheme="minorEastAsia" w:cstheme="minorBidi"/>
          <w:b w:val="0"/>
          <w:noProof/>
          <w:lang w:bidi="he-IL"/>
        </w:rPr>
      </w:pPr>
      <w:r>
        <w:rPr>
          <w:noProof/>
        </w:rPr>
        <w:t>8.2</w:t>
      </w:r>
      <w:r>
        <w:rPr>
          <w:rFonts w:eastAsiaTheme="minorEastAsia" w:cstheme="minorBidi"/>
          <w:b w:val="0"/>
          <w:noProof/>
          <w:lang w:bidi="he-IL"/>
        </w:rPr>
        <w:tab/>
      </w:r>
      <w:r>
        <w:rPr>
          <w:noProof/>
        </w:rPr>
        <w:t>Gold Standard or Working Standard Fails</w:t>
      </w:r>
      <w:r>
        <w:rPr>
          <w:noProof/>
        </w:rPr>
        <w:tab/>
      </w:r>
      <w:r>
        <w:rPr>
          <w:noProof/>
        </w:rPr>
        <w:fldChar w:fldCharType="begin"/>
      </w:r>
      <w:r>
        <w:rPr>
          <w:noProof/>
        </w:rPr>
        <w:instrText xml:space="preserve"> PAGEREF _Toc321729383 \h </w:instrText>
      </w:r>
      <w:r>
        <w:rPr>
          <w:noProof/>
        </w:rPr>
      </w:r>
      <w:r>
        <w:rPr>
          <w:noProof/>
        </w:rPr>
        <w:fldChar w:fldCharType="separate"/>
      </w:r>
      <w:r>
        <w:rPr>
          <w:noProof/>
        </w:rPr>
        <w:t>36</w:t>
      </w:r>
      <w:r>
        <w:rPr>
          <w:noProof/>
        </w:rPr>
        <w:fldChar w:fldCharType="end"/>
      </w:r>
    </w:p>
    <w:p w14:paraId="5408114A" w14:textId="77777777" w:rsidR="00E57C6B" w:rsidRDefault="00E57C6B">
      <w:pPr>
        <w:pStyle w:val="TOC2"/>
        <w:tabs>
          <w:tab w:val="left" w:pos="960"/>
          <w:tab w:val="right" w:leader="dot" w:pos="9580"/>
        </w:tabs>
        <w:rPr>
          <w:rFonts w:eastAsiaTheme="minorEastAsia" w:cstheme="minorBidi"/>
          <w:b w:val="0"/>
          <w:noProof/>
          <w:lang w:bidi="he-IL"/>
        </w:rPr>
      </w:pPr>
      <w:r>
        <w:rPr>
          <w:noProof/>
        </w:rPr>
        <w:t>8.3</w:t>
      </w:r>
      <w:r>
        <w:rPr>
          <w:rFonts w:eastAsiaTheme="minorEastAsia" w:cstheme="minorBidi"/>
          <w:b w:val="0"/>
          <w:noProof/>
          <w:lang w:bidi="he-IL"/>
        </w:rPr>
        <w:tab/>
      </w:r>
      <w:r>
        <w:rPr>
          <w:noProof/>
        </w:rPr>
        <w:t>Laser Fails</w:t>
      </w:r>
      <w:r>
        <w:rPr>
          <w:noProof/>
        </w:rPr>
        <w:tab/>
      </w:r>
      <w:r>
        <w:rPr>
          <w:noProof/>
        </w:rPr>
        <w:fldChar w:fldCharType="begin"/>
      </w:r>
      <w:r>
        <w:rPr>
          <w:noProof/>
        </w:rPr>
        <w:instrText xml:space="preserve"> PAGEREF _Toc321729384 \h </w:instrText>
      </w:r>
      <w:r>
        <w:rPr>
          <w:noProof/>
        </w:rPr>
      </w:r>
      <w:r>
        <w:rPr>
          <w:noProof/>
        </w:rPr>
        <w:fldChar w:fldCharType="separate"/>
      </w:r>
      <w:r>
        <w:rPr>
          <w:noProof/>
        </w:rPr>
        <w:t>37</w:t>
      </w:r>
      <w:r>
        <w:rPr>
          <w:noProof/>
        </w:rPr>
        <w:fldChar w:fldCharType="end"/>
      </w:r>
    </w:p>
    <w:p w14:paraId="548C2FDB" w14:textId="77777777" w:rsidR="00E57C6B" w:rsidRDefault="00E57C6B">
      <w:pPr>
        <w:pStyle w:val="TOC2"/>
        <w:tabs>
          <w:tab w:val="left" w:pos="960"/>
          <w:tab w:val="right" w:leader="dot" w:pos="9580"/>
        </w:tabs>
        <w:rPr>
          <w:rFonts w:eastAsiaTheme="minorEastAsia" w:cstheme="minorBidi"/>
          <w:b w:val="0"/>
          <w:noProof/>
          <w:lang w:bidi="he-IL"/>
        </w:rPr>
      </w:pPr>
      <w:r>
        <w:rPr>
          <w:noProof/>
        </w:rPr>
        <w:t>8.4</w:t>
      </w:r>
      <w:r>
        <w:rPr>
          <w:rFonts w:eastAsiaTheme="minorEastAsia" w:cstheme="minorBidi"/>
          <w:b w:val="0"/>
          <w:noProof/>
          <w:lang w:bidi="he-IL"/>
        </w:rPr>
        <w:tab/>
      </w:r>
      <w:r>
        <w:rPr>
          <w:noProof/>
        </w:rPr>
        <w:t>Misalignment of Receiver-Side Periscope</w:t>
      </w:r>
      <w:r>
        <w:rPr>
          <w:noProof/>
        </w:rPr>
        <w:tab/>
      </w:r>
      <w:r>
        <w:rPr>
          <w:noProof/>
        </w:rPr>
        <w:fldChar w:fldCharType="begin"/>
      </w:r>
      <w:r>
        <w:rPr>
          <w:noProof/>
        </w:rPr>
        <w:instrText xml:space="preserve"> PAGEREF _Toc321729385 \h </w:instrText>
      </w:r>
      <w:r>
        <w:rPr>
          <w:noProof/>
        </w:rPr>
      </w:r>
      <w:r>
        <w:rPr>
          <w:noProof/>
        </w:rPr>
        <w:fldChar w:fldCharType="separate"/>
      </w:r>
      <w:r>
        <w:rPr>
          <w:noProof/>
        </w:rPr>
        <w:t>37</w:t>
      </w:r>
      <w:r>
        <w:rPr>
          <w:noProof/>
        </w:rPr>
        <w:fldChar w:fldCharType="end"/>
      </w:r>
    </w:p>
    <w:p w14:paraId="2114B496" w14:textId="77777777" w:rsidR="00E57C6B" w:rsidRDefault="00E57C6B">
      <w:pPr>
        <w:pStyle w:val="TOC2"/>
        <w:tabs>
          <w:tab w:val="left" w:pos="960"/>
          <w:tab w:val="right" w:leader="dot" w:pos="9580"/>
        </w:tabs>
        <w:rPr>
          <w:rFonts w:eastAsiaTheme="minorEastAsia" w:cstheme="minorBidi"/>
          <w:b w:val="0"/>
          <w:noProof/>
          <w:lang w:bidi="he-IL"/>
        </w:rPr>
      </w:pPr>
      <w:r>
        <w:rPr>
          <w:noProof/>
        </w:rPr>
        <w:t>8.5</w:t>
      </w:r>
      <w:r>
        <w:rPr>
          <w:rFonts w:eastAsiaTheme="minorEastAsia" w:cstheme="minorBidi"/>
          <w:b w:val="0"/>
          <w:noProof/>
          <w:lang w:bidi="he-IL"/>
        </w:rPr>
        <w:tab/>
      </w:r>
      <w:r>
        <w:rPr>
          <w:noProof/>
        </w:rPr>
        <w:t>Misalignment of Transmitter-Side Periscope</w:t>
      </w:r>
      <w:r>
        <w:rPr>
          <w:noProof/>
        </w:rPr>
        <w:tab/>
      </w:r>
      <w:r>
        <w:rPr>
          <w:noProof/>
        </w:rPr>
        <w:fldChar w:fldCharType="begin"/>
      </w:r>
      <w:r>
        <w:rPr>
          <w:noProof/>
        </w:rPr>
        <w:instrText xml:space="preserve"> PAGEREF _Toc321729386 \h </w:instrText>
      </w:r>
      <w:r>
        <w:rPr>
          <w:noProof/>
        </w:rPr>
      </w:r>
      <w:r>
        <w:rPr>
          <w:noProof/>
        </w:rPr>
        <w:fldChar w:fldCharType="separate"/>
      </w:r>
      <w:r>
        <w:rPr>
          <w:noProof/>
        </w:rPr>
        <w:t>37</w:t>
      </w:r>
      <w:r>
        <w:rPr>
          <w:noProof/>
        </w:rPr>
        <w:fldChar w:fldCharType="end"/>
      </w:r>
    </w:p>
    <w:p w14:paraId="326091AB" w14:textId="77777777" w:rsidR="00E57C6B" w:rsidRDefault="00E57C6B">
      <w:pPr>
        <w:pStyle w:val="TOC2"/>
        <w:tabs>
          <w:tab w:val="left" w:pos="960"/>
          <w:tab w:val="right" w:leader="dot" w:pos="9580"/>
        </w:tabs>
        <w:rPr>
          <w:rFonts w:eastAsiaTheme="minorEastAsia" w:cstheme="minorBidi"/>
          <w:b w:val="0"/>
          <w:noProof/>
          <w:lang w:bidi="he-IL"/>
        </w:rPr>
      </w:pPr>
      <w:r>
        <w:rPr>
          <w:noProof/>
        </w:rPr>
        <w:t>8.6</w:t>
      </w:r>
      <w:r>
        <w:rPr>
          <w:rFonts w:eastAsiaTheme="minorEastAsia" w:cstheme="minorBidi"/>
          <w:b w:val="0"/>
          <w:noProof/>
          <w:lang w:bidi="he-IL"/>
        </w:rPr>
        <w:tab/>
      </w:r>
      <w:r>
        <w:rPr>
          <w:noProof/>
        </w:rPr>
        <w:t>Damage to Viewport Glass</w:t>
      </w:r>
      <w:r>
        <w:rPr>
          <w:noProof/>
        </w:rPr>
        <w:tab/>
      </w:r>
      <w:r>
        <w:rPr>
          <w:noProof/>
        </w:rPr>
        <w:fldChar w:fldCharType="begin"/>
      </w:r>
      <w:r>
        <w:rPr>
          <w:noProof/>
        </w:rPr>
        <w:instrText xml:space="preserve"> PAGEREF _Toc321729387 \h </w:instrText>
      </w:r>
      <w:r>
        <w:rPr>
          <w:noProof/>
        </w:rPr>
      </w:r>
      <w:r>
        <w:rPr>
          <w:noProof/>
        </w:rPr>
        <w:fldChar w:fldCharType="separate"/>
      </w:r>
      <w:r>
        <w:rPr>
          <w:noProof/>
        </w:rPr>
        <w:t>37</w:t>
      </w:r>
      <w:r>
        <w:rPr>
          <w:noProof/>
        </w:rPr>
        <w:fldChar w:fldCharType="end"/>
      </w:r>
    </w:p>
    <w:p w14:paraId="3DC12949" w14:textId="77777777" w:rsidR="00E57C6B" w:rsidRDefault="00E57C6B">
      <w:pPr>
        <w:pStyle w:val="TOC1"/>
        <w:tabs>
          <w:tab w:val="left" w:pos="480"/>
          <w:tab w:val="right" w:leader="dot" w:pos="9580"/>
        </w:tabs>
        <w:rPr>
          <w:rFonts w:eastAsiaTheme="minorEastAsia" w:cstheme="minorBidi"/>
          <w:b w:val="0"/>
          <w:noProof/>
          <w:sz w:val="22"/>
          <w:szCs w:val="22"/>
          <w:lang w:bidi="he-IL"/>
        </w:rPr>
      </w:pPr>
      <w:r>
        <w:rPr>
          <w:noProof/>
        </w:rPr>
        <w:t>9</w:t>
      </w:r>
      <w:r>
        <w:rPr>
          <w:rFonts w:eastAsiaTheme="minorEastAsia" w:cstheme="minorBidi"/>
          <w:b w:val="0"/>
          <w:noProof/>
          <w:sz w:val="22"/>
          <w:szCs w:val="22"/>
          <w:lang w:bidi="he-IL"/>
        </w:rPr>
        <w:tab/>
      </w:r>
      <w:r>
        <w:rPr>
          <w:noProof/>
        </w:rPr>
        <w:t>Required Drawings and Documents</w:t>
      </w:r>
      <w:r>
        <w:rPr>
          <w:noProof/>
        </w:rPr>
        <w:tab/>
      </w:r>
      <w:r>
        <w:rPr>
          <w:noProof/>
        </w:rPr>
        <w:fldChar w:fldCharType="begin"/>
      </w:r>
      <w:r>
        <w:rPr>
          <w:noProof/>
        </w:rPr>
        <w:instrText xml:space="preserve"> PAGEREF _Toc321729388 \h </w:instrText>
      </w:r>
      <w:r>
        <w:rPr>
          <w:noProof/>
        </w:rPr>
      </w:r>
      <w:r>
        <w:rPr>
          <w:noProof/>
        </w:rPr>
        <w:fldChar w:fldCharType="separate"/>
      </w:r>
      <w:r>
        <w:rPr>
          <w:noProof/>
        </w:rPr>
        <w:t>37</w:t>
      </w:r>
      <w:r>
        <w:rPr>
          <w:noProof/>
        </w:rPr>
        <w:fldChar w:fldCharType="end"/>
      </w:r>
    </w:p>
    <w:p w14:paraId="36599908" w14:textId="77777777" w:rsidR="00E57C6B" w:rsidRDefault="00E57C6B">
      <w:pPr>
        <w:pStyle w:val="TOC2"/>
        <w:tabs>
          <w:tab w:val="left" w:pos="960"/>
          <w:tab w:val="right" w:leader="dot" w:pos="9580"/>
        </w:tabs>
        <w:rPr>
          <w:rFonts w:eastAsiaTheme="minorEastAsia" w:cstheme="minorBidi"/>
          <w:b w:val="0"/>
          <w:noProof/>
          <w:lang w:bidi="he-IL"/>
        </w:rPr>
      </w:pPr>
      <w:r>
        <w:rPr>
          <w:noProof/>
        </w:rPr>
        <w:t>9.1</w:t>
      </w:r>
      <w:r>
        <w:rPr>
          <w:rFonts w:eastAsiaTheme="minorEastAsia" w:cstheme="minorBidi"/>
          <w:b w:val="0"/>
          <w:noProof/>
          <w:lang w:bidi="he-IL"/>
        </w:rPr>
        <w:tab/>
      </w:r>
      <w:r>
        <w:rPr>
          <w:noProof/>
        </w:rPr>
        <w:t>Hardware Drawings/Bill of Materials</w:t>
      </w:r>
      <w:r>
        <w:rPr>
          <w:noProof/>
        </w:rPr>
        <w:tab/>
      </w:r>
      <w:r>
        <w:rPr>
          <w:noProof/>
        </w:rPr>
        <w:fldChar w:fldCharType="begin"/>
      </w:r>
      <w:r>
        <w:rPr>
          <w:noProof/>
        </w:rPr>
        <w:instrText xml:space="preserve"> PAGEREF _Toc321729389 \h </w:instrText>
      </w:r>
      <w:r>
        <w:rPr>
          <w:noProof/>
        </w:rPr>
      </w:r>
      <w:r>
        <w:rPr>
          <w:noProof/>
        </w:rPr>
        <w:fldChar w:fldCharType="separate"/>
      </w:r>
      <w:r>
        <w:rPr>
          <w:noProof/>
        </w:rPr>
        <w:t>37</w:t>
      </w:r>
      <w:r>
        <w:rPr>
          <w:noProof/>
        </w:rPr>
        <w:fldChar w:fldCharType="end"/>
      </w:r>
    </w:p>
    <w:p w14:paraId="265094A2" w14:textId="77777777" w:rsidR="00E57C6B" w:rsidRDefault="00E57C6B">
      <w:pPr>
        <w:pStyle w:val="TOC3"/>
        <w:tabs>
          <w:tab w:val="left" w:pos="1200"/>
          <w:tab w:val="right" w:leader="dot" w:pos="9580"/>
        </w:tabs>
        <w:rPr>
          <w:rFonts w:eastAsiaTheme="minorEastAsia" w:cstheme="minorBidi"/>
          <w:noProof/>
          <w:lang w:bidi="he-IL"/>
        </w:rPr>
      </w:pPr>
      <w:r>
        <w:rPr>
          <w:noProof/>
        </w:rPr>
        <w:t>9.1.1</w:t>
      </w:r>
      <w:r>
        <w:rPr>
          <w:rFonts w:eastAsiaTheme="minorEastAsia" w:cstheme="minorBidi"/>
          <w:noProof/>
          <w:lang w:bidi="he-IL"/>
        </w:rPr>
        <w:tab/>
      </w:r>
      <w:r>
        <w:rPr>
          <w:noProof/>
        </w:rPr>
        <w:t>Transmitter Pylon (same for all ETMs, 6 required)</w:t>
      </w:r>
      <w:r>
        <w:rPr>
          <w:noProof/>
        </w:rPr>
        <w:tab/>
      </w:r>
      <w:r>
        <w:rPr>
          <w:noProof/>
        </w:rPr>
        <w:fldChar w:fldCharType="begin"/>
      </w:r>
      <w:r>
        <w:rPr>
          <w:noProof/>
        </w:rPr>
        <w:instrText xml:space="preserve"> PAGEREF _Toc321729390 \h </w:instrText>
      </w:r>
      <w:r>
        <w:rPr>
          <w:noProof/>
        </w:rPr>
      </w:r>
      <w:r>
        <w:rPr>
          <w:noProof/>
        </w:rPr>
        <w:fldChar w:fldCharType="separate"/>
      </w:r>
      <w:r>
        <w:rPr>
          <w:noProof/>
        </w:rPr>
        <w:t>37</w:t>
      </w:r>
      <w:r>
        <w:rPr>
          <w:noProof/>
        </w:rPr>
        <w:fldChar w:fldCharType="end"/>
      </w:r>
    </w:p>
    <w:p w14:paraId="7C62E4B0" w14:textId="77777777" w:rsidR="00E57C6B" w:rsidRDefault="00E57C6B">
      <w:pPr>
        <w:pStyle w:val="TOC3"/>
        <w:tabs>
          <w:tab w:val="left" w:pos="1200"/>
          <w:tab w:val="right" w:leader="dot" w:pos="9580"/>
        </w:tabs>
        <w:rPr>
          <w:rFonts w:eastAsiaTheme="minorEastAsia" w:cstheme="minorBidi"/>
          <w:noProof/>
          <w:lang w:bidi="he-IL"/>
        </w:rPr>
      </w:pPr>
      <w:r>
        <w:rPr>
          <w:noProof/>
        </w:rPr>
        <w:t>9.1.2</w:t>
      </w:r>
      <w:r>
        <w:rPr>
          <w:rFonts w:eastAsiaTheme="minorEastAsia" w:cstheme="minorBidi"/>
          <w:noProof/>
          <w:lang w:bidi="he-IL"/>
        </w:rPr>
        <w:tab/>
      </w:r>
      <w:r>
        <w:rPr>
          <w:noProof/>
        </w:rPr>
        <w:t>Transmitter Module (same for all ETMs, 6 required)</w:t>
      </w:r>
      <w:r>
        <w:rPr>
          <w:noProof/>
        </w:rPr>
        <w:tab/>
      </w:r>
      <w:r>
        <w:rPr>
          <w:noProof/>
        </w:rPr>
        <w:fldChar w:fldCharType="begin"/>
      </w:r>
      <w:r>
        <w:rPr>
          <w:noProof/>
        </w:rPr>
        <w:instrText xml:space="preserve"> PAGEREF _Toc321729391 \h </w:instrText>
      </w:r>
      <w:r>
        <w:rPr>
          <w:noProof/>
        </w:rPr>
      </w:r>
      <w:r>
        <w:rPr>
          <w:noProof/>
        </w:rPr>
        <w:fldChar w:fldCharType="separate"/>
      </w:r>
      <w:r>
        <w:rPr>
          <w:noProof/>
        </w:rPr>
        <w:t>37</w:t>
      </w:r>
      <w:r>
        <w:rPr>
          <w:noProof/>
        </w:rPr>
        <w:fldChar w:fldCharType="end"/>
      </w:r>
    </w:p>
    <w:p w14:paraId="78EC2BF8" w14:textId="77777777" w:rsidR="00E57C6B" w:rsidRDefault="00E57C6B">
      <w:pPr>
        <w:pStyle w:val="TOC3"/>
        <w:tabs>
          <w:tab w:val="left" w:pos="1200"/>
          <w:tab w:val="right" w:leader="dot" w:pos="9580"/>
        </w:tabs>
        <w:rPr>
          <w:rFonts w:eastAsiaTheme="minorEastAsia" w:cstheme="minorBidi"/>
          <w:noProof/>
          <w:lang w:bidi="he-IL"/>
        </w:rPr>
      </w:pPr>
      <w:r>
        <w:rPr>
          <w:noProof/>
        </w:rPr>
        <w:t>9.1.3</w:t>
      </w:r>
      <w:r>
        <w:rPr>
          <w:rFonts w:eastAsiaTheme="minorEastAsia" w:cstheme="minorBidi"/>
          <w:noProof/>
          <w:lang w:bidi="he-IL"/>
        </w:rPr>
        <w:tab/>
      </w:r>
      <w:r>
        <w:rPr>
          <w:noProof/>
        </w:rPr>
        <w:t>Receiver Module (same for all ETMs, 6 required)</w:t>
      </w:r>
      <w:r>
        <w:rPr>
          <w:noProof/>
        </w:rPr>
        <w:tab/>
      </w:r>
      <w:r>
        <w:rPr>
          <w:noProof/>
        </w:rPr>
        <w:fldChar w:fldCharType="begin"/>
      </w:r>
      <w:r>
        <w:rPr>
          <w:noProof/>
        </w:rPr>
        <w:instrText xml:space="preserve"> PAGEREF _Toc321729392 \h </w:instrText>
      </w:r>
      <w:r>
        <w:rPr>
          <w:noProof/>
        </w:rPr>
      </w:r>
      <w:r>
        <w:rPr>
          <w:noProof/>
        </w:rPr>
        <w:fldChar w:fldCharType="separate"/>
      </w:r>
      <w:r>
        <w:rPr>
          <w:noProof/>
        </w:rPr>
        <w:t>38</w:t>
      </w:r>
      <w:r>
        <w:rPr>
          <w:noProof/>
        </w:rPr>
        <w:fldChar w:fldCharType="end"/>
      </w:r>
    </w:p>
    <w:p w14:paraId="175FC8D9" w14:textId="77777777" w:rsidR="00E57C6B" w:rsidRDefault="00E57C6B">
      <w:pPr>
        <w:pStyle w:val="TOC3"/>
        <w:tabs>
          <w:tab w:val="left" w:pos="1200"/>
          <w:tab w:val="right" w:leader="dot" w:pos="9580"/>
        </w:tabs>
        <w:rPr>
          <w:rFonts w:eastAsiaTheme="minorEastAsia" w:cstheme="minorBidi"/>
          <w:noProof/>
          <w:lang w:bidi="he-IL"/>
        </w:rPr>
      </w:pPr>
      <w:r>
        <w:rPr>
          <w:noProof/>
        </w:rPr>
        <w:t>9.1.4</w:t>
      </w:r>
      <w:r>
        <w:rPr>
          <w:rFonts w:eastAsiaTheme="minorEastAsia" w:cstheme="minorBidi"/>
          <w:noProof/>
          <w:lang w:bidi="he-IL"/>
        </w:rPr>
        <w:tab/>
      </w:r>
      <w:r>
        <w:rPr>
          <w:noProof/>
        </w:rPr>
        <w:t>In-Vacuum Pcal-Video Cam Periscope Assembly (same for each ETM, except left-right symmetry)</w:t>
      </w:r>
      <w:r>
        <w:rPr>
          <w:noProof/>
        </w:rPr>
        <w:tab/>
      </w:r>
      <w:r>
        <w:rPr>
          <w:noProof/>
        </w:rPr>
        <w:fldChar w:fldCharType="begin"/>
      </w:r>
      <w:r>
        <w:rPr>
          <w:noProof/>
        </w:rPr>
        <w:instrText xml:space="preserve"> PAGEREF _Toc321729393 \h </w:instrText>
      </w:r>
      <w:r>
        <w:rPr>
          <w:noProof/>
        </w:rPr>
      </w:r>
      <w:r>
        <w:rPr>
          <w:noProof/>
        </w:rPr>
        <w:fldChar w:fldCharType="separate"/>
      </w:r>
      <w:r>
        <w:rPr>
          <w:noProof/>
        </w:rPr>
        <w:t>38</w:t>
      </w:r>
      <w:r>
        <w:rPr>
          <w:noProof/>
        </w:rPr>
        <w:fldChar w:fldCharType="end"/>
      </w:r>
    </w:p>
    <w:p w14:paraId="50A8FB22" w14:textId="77777777" w:rsidR="00E57C6B" w:rsidRDefault="00E57C6B">
      <w:pPr>
        <w:pStyle w:val="TOC4"/>
        <w:tabs>
          <w:tab w:val="left" w:pos="1680"/>
          <w:tab w:val="right" w:leader="dot" w:pos="9580"/>
        </w:tabs>
        <w:rPr>
          <w:rFonts w:eastAsiaTheme="minorEastAsia" w:cstheme="minorBidi"/>
          <w:noProof/>
          <w:sz w:val="22"/>
          <w:szCs w:val="22"/>
          <w:lang w:bidi="he-IL"/>
        </w:rPr>
      </w:pPr>
      <w:r>
        <w:rPr>
          <w:noProof/>
        </w:rPr>
        <w:t>9.1.4.1</w:t>
      </w:r>
      <w:r>
        <w:rPr>
          <w:rFonts w:eastAsiaTheme="minorEastAsia" w:cstheme="minorBidi"/>
          <w:noProof/>
          <w:sz w:val="22"/>
          <w:szCs w:val="22"/>
          <w:lang w:bidi="he-IL"/>
        </w:rPr>
        <w:tab/>
      </w:r>
      <w:r>
        <w:rPr>
          <w:noProof/>
        </w:rPr>
        <w:t>H1/L1 (4 required)</w:t>
      </w:r>
      <w:r>
        <w:rPr>
          <w:noProof/>
        </w:rPr>
        <w:tab/>
      </w:r>
      <w:r>
        <w:rPr>
          <w:noProof/>
        </w:rPr>
        <w:fldChar w:fldCharType="begin"/>
      </w:r>
      <w:r>
        <w:rPr>
          <w:noProof/>
        </w:rPr>
        <w:instrText xml:space="preserve"> PAGEREF _Toc321729394 \h </w:instrText>
      </w:r>
      <w:r>
        <w:rPr>
          <w:noProof/>
        </w:rPr>
      </w:r>
      <w:r>
        <w:rPr>
          <w:noProof/>
        </w:rPr>
        <w:fldChar w:fldCharType="separate"/>
      </w:r>
      <w:r>
        <w:rPr>
          <w:noProof/>
        </w:rPr>
        <w:t>38</w:t>
      </w:r>
      <w:r>
        <w:rPr>
          <w:noProof/>
        </w:rPr>
        <w:fldChar w:fldCharType="end"/>
      </w:r>
    </w:p>
    <w:p w14:paraId="7DB71A12" w14:textId="77777777" w:rsidR="00E57C6B" w:rsidRDefault="00E57C6B">
      <w:pPr>
        <w:pStyle w:val="TOC4"/>
        <w:tabs>
          <w:tab w:val="left" w:pos="1680"/>
          <w:tab w:val="right" w:leader="dot" w:pos="9580"/>
        </w:tabs>
        <w:rPr>
          <w:rFonts w:eastAsiaTheme="minorEastAsia" w:cstheme="minorBidi"/>
          <w:noProof/>
          <w:sz w:val="22"/>
          <w:szCs w:val="22"/>
          <w:lang w:bidi="he-IL"/>
        </w:rPr>
      </w:pPr>
      <w:r>
        <w:rPr>
          <w:noProof/>
        </w:rPr>
        <w:t>9.1.4.2</w:t>
      </w:r>
      <w:r>
        <w:rPr>
          <w:rFonts w:eastAsiaTheme="minorEastAsia" w:cstheme="minorBidi"/>
          <w:noProof/>
          <w:sz w:val="22"/>
          <w:szCs w:val="22"/>
          <w:lang w:bidi="he-IL"/>
        </w:rPr>
        <w:tab/>
      </w:r>
      <w:r>
        <w:rPr>
          <w:noProof/>
        </w:rPr>
        <w:t>H2 (2 required)</w:t>
      </w:r>
      <w:r>
        <w:rPr>
          <w:noProof/>
        </w:rPr>
        <w:tab/>
      </w:r>
      <w:r>
        <w:rPr>
          <w:noProof/>
        </w:rPr>
        <w:fldChar w:fldCharType="begin"/>
      </w:r>
      <w:r>
        <w:rPr>
          <w:noProof/>
        </w:rPr>
        <w:instrText xml:space="preserve"> PAGEREF _Toc321729395 \h </w:instrText>
      </w:r>
      <w:r>
        <w:rPr>
          <w:noProof/>
        </w:rPr>
      </w:r>
      <w:r>
        <w:rPr>
          <w:noProof/>
        </w:rPr>
        <w:fldChar w:fldCharType="separate"/>
      </w:r>
      <w:r>
        <w:rPr>
          <w:noProof/>
        </w:rPr>
        <w:t>39</w:t>
      </w:r>
      <w:r>
        <w:rPr>
          <w:noProof/>
        </w:rPr>
        <w:fldChar w:fldCharType="end"/>
      </w:r>
    </w:p>
    <w:p w14:paraId="747012C1" w14:textId="77777777" w:rsidR="00E57C6B" w:rsidRDefault="00E57C6B">
      <w:pPr>
        <w:pStyle w:val="TOC3"/>
        <w:tabs>
          <w:tab w:val="left" w:pos="1200"/>
          <w:tab w:val="right" w:leader="dot" w:pos="9580"/>
        </w:tabs>
        <w:rPr>
          <w:rFonts w:eastAsiaTheme="minorEastAsia" w:cstheme="minorBidi"/>
          <w:noProof/>
          <w:lang w:bidi="he-IL"/>
        </w:rPr>
      </w:pPr>
      <w:r>
        <w:rPr>
          <w:noProof/>
        </w:rPr>
        <w:t>9.1.5</w:t>
      </w:r>
      <w:r>
        <w:rPr>
          <w:rFonts w:eastAsiaTheme="minorEastAsia" w:cstheme="minorBidi"/>
          <w:noProof/>
          <w:lang w:bidi="he-IL"/>
        </w:rPr>
        <w:tab/>
      </w:r>
      <w:r>
        <w:rPr>
          <w:noProof/>
        </w:rPr>
        <w:t>ETM Camera In-Vaccum Periscope Hardware [Mike Smith, ISC] (same for each ETM, except left-right symmetry)</w:t>
      </w:r>
      <w:r>
        <w:rPr>
          <w:noProof/>
        </w:rPr>
        <w:tab/>
      </w:r>
      <w:r>
        <w:rPr>
          <w:noProof/>
        </w:rPr>
        <w:fldChar w:fldCharType="begin"/>
      </w:r>
      <w:r>
        <w:rPr>
          <w:noProof/>
        </w:rPr>
        <w:instrText xml:space="preserve"> PAGEREF _Toc321729396 \h </w:instrText>
      </w:r>
      <w:r>
        <w:rPr>
          <w:noProof/>
        </w:rPr>
      </w:r>
      <w:r>
        <w:rPr>
          <w:noProof/>
        </w:rPr>
        <w:fldChar w:fldCharType="separate"/>
      </w:r>
      <w:r>
        <w:rPr>
          <w:noProof/>
        </w:rPr>
        <w:t>39</w:t>
      </w:r>
      <w:r>
        <w:rPr>
          <w:noProof/>
        </w:rPr>
        <w:fldChar w:fldCharType="end"/>
      </w:r>
    </w:p>
    <w:p w14:paraId="0A8C7DD0" w14:textId="77777777" w:rsidR="00E57C6B" w:rsidRDefault="00E57C6B">
      <w:pPr>
        <w:pStyle w:val="TOC4"/>
        <w:tabs>
          <w:tab w:val="left" w:pos="1680"/>
          <w:tab w:val="right" w:leader="dot" w:pos="9580"/>
        </w:tabs>
        <w:rPr>
          <w:rFonts w:eastAsiaTheme="minorEastAsia" w:cstheme="minorBidi"/>
          <w:noProof/>
          <w:sz w:val="22"/>
          <w:szCs w:val="22"/>
          <w:lang w:bidi="he-IL"/>
        </w:rPr>
      </w:pPr>
      <w:r>
        <w:rPr>
          <w:noProof/>
        </w:rPr>
        <w:t>9.1.5.1</w:t>
      </w:r>
      <w:r>
        <w:rPr>
          <w:rFonts w:eastAsiaTheme="minorEastAsia" w:cstheme="minorBidi"/>
          <w:noProof/>
          <w:sz w:val="22"/>
          <w:szCs w:val="22"/>
          <w:lang w:bidi="he-IL"/>
        </w:rPr>
        <w:tab/>
      </w:r>
      <w:r>
        <w:rPr>
          <w:noProof/>
        </w:rPr>
        <w:t>H1/L1 (4 required)</w:t>
      </w:r>
      <w:r>
        <w:rPr>
          <w:noProof/>
        </w:rPr>
        <w:tab/>
      </w:r>
      <w:r>
        <w:rPr>
          <w:noProof/>
        </w:rPr>
        <w:fldChar w:fldCharType="begin"/>
      </w:r>
      <w:r>
        <w:rPr>
          <w:noProof/>
        </w:rPr>
        <w:instrText xml:space="preserve"> PAGEREF _Toc321729397 \h </w:instrText>
      </w:r>
      <w:r>
        <w:rPr>
          <w:noProof/>
        </w:rPr>
      </w:r>
      <w:r>
        <w:rPr>
          <w:noProof/>
        </w:rPr>
        <w:fldChar w:fldCharType="separate"/>
      </w:r>
      <w:r>
        <w:rPr>
          <w:noProof/>
        </w:rPr>
        <w:t>39</w:t>
      </w:r>
      <w:r>
        <w:rPr>
          <w:noProof/>
        </w:rPr>
        <w:fldChar w:fldCharType="end"/>
      </w:r>
    </w:p>
    <w:p w14:paraId="4AC3463D" w14:textId="77777777" w:rsidR="00E57C6B" w:rsidRDefault="00E57C6B">
      <w:pPr>
        <w:pStyle w:val="TOC4"/>
        <w:tabs>
          <w:tab w:val="left" w:pos="1680"/>
          <w:tab w:val="right" w:leader="dot" w:pos="9580"/>
        </w:tabs>
        <w:rPr>
          <w:rFonts w:eastAsiaTheme="minorEastAsia" w:cstheme="minorBidi"/>
          <w:noProof/>
          <w:sz w:val="22"/>
          <w:szCs w:val="22"/>
          <w:lang w:bidi="he-IL"/>
        </w:rPr>
      </w:pPr>
      <w:r>
        <w:rPr>
          <w:noProof/>
        </w:rPr>
        <w:t>9.1.5.2</w:t>
      </w:r>
      <w:r>
        <w:rPr>
          <w:rFonts w:eastAsiaTheme="minorEastAsia" w:cstheme="minorBidi"/>
          <w:noProof/>
          <w:sz w:val="22"/>
          <w:szCs w:val="22"/>
          <w:lang w:bidi="he-IL"/>
        </w:rPr>
        <w:tab/>
      </w:r>
      <w:r>
        <w:rPr>
          <w:noProof/>
        </w:rPr>
        <w:t>H2 (2 required)</w:t>
      </w:r>
      <w:r>
        <w:rPr>
          <w:noProof/>
        </w:rPr>
        <w:tab/>
      </w:r>
      <w:r>
        <w:rPr>
          <w:noProof/>
        </w:rPr>
        <w:fldChar w:fldCharType="begin"/>
      </w:r>
      <w:r>
        <w:rPr>
          <w:noProof/>
        </w:rPr>
        <w:instrText xml:space="preserve"> PAGEREF _Toc321729398 \h </w:instrText>
      </w:r>
      <w:r>
        <w:rPr>
          <w:noProof/>
        </w:rPr>
      </w:r>
      <w:r>
        <w:rPr>
          <w:noProof/>
        </w:rPr>
        <w:fldChar w:fldCharType="separate"/>
      </w:r>
      <w:r>
        <w:rPr>
          <w:noProof/>
        </w:rPr>
        <w:t>39</w:t>
      </w:r>
      <w:r>
        <w:rPr>
          <w:noProof/>
        </w:rPr>
        <w:fldChar w:fldCharType="end"/>
      </w:r>
    </w:p>
    <w:p w14:paraId="1BE67445" w14:textId="3C81EA5D" w:rsidR="00C21426" w:rsidRPr="008678BC" w:rsidRDefault="00C21426" w:rsidP="005449AA">
      <w:pPr>
        <w:jc w:val="left"/>
        <w:rPr>
          <w:b/>
          <w:u w:val="single"/>
        </w:rPr>
      </w:pPr>
      <w:r>
        <w:fldChar w:fldCharType="end"/>
      </w:r>
      <w:r w:rsidRPr="008678BC">
        <w:rPr>
          <w:b/>
          <w:u w:val="single"/>
        </w:rPr>
        <w:t>Acronyms</w:t>
      </w:r>
    </w:p>
    <w:p w14:paraId="5DF39695" w14:textId="05C2C404" w:rsidR="00C21426" w:rsidRDefault="00C21426" w:rsidP="005449AA">
      <w:pPr>
        <w:jc w:val="left"/>
      </w:pPr>
      <w:r>
        <w:t>µ - Mean</w:t>
      </w:r>
    </w:p>
    <w:p w14:paraId="64E4BA21" w14:textId="77777777" w:rsidR="00C21426" w:rsidRDefault="00C21426" w:rsidP="005449AA">
      <w:pPr>
        <w:jc w:val="left"/>
      </w:pPr>
      <w:r>
        <w:t>σ – Standard Deviation</w:t>
      </w:r>
    </w:p>
    <w:p w14:paraId="35C56253" w14:textId="480161C4" w:rsidR="00C21426" w:rsidRDefault="003F690B" w:rsidP="005449AA">
      <w:pPr>
        <w:jc w:val="left"/>
      </w:pPr>
      <w:r>
        <w:t xml:space="preserve">1 PPS – 1 Pulse Per </w:t>
      </w:r>
      <w:r w:rsidR="00F43C23">
        <w:t>S</w:t>
      </w:r>
      <w:r w:rsidR="00C21426">
        <w:t>econd timing system</w:t>
      </w:r>
    </w:p>
    <w:p w14:paraId="7059D7ED" w14:textId="77777777" w:rsidR="00C21426" w:rsidRDefault="00C21426" w:rsidP="005449AA">
      <w:pPr>
        <w:jc w:val="left"/>
      </w:pPr>
      <w:r>
        <w:t>AOM – Acousto-Optic Modulator</w:t>
      </w:r>
    </w:p>
    <w:p w14:paraId="41BD8DC4" w14:textId="77777777" w:rsidR="00C21426" w:rsidRPr="009A2A63" w:rsidRDefault="00C21426" w:rsidP="005449AA">
      <w:pPr>
        <w:jc w:val="left"/>
      </w:pPr>
      <w:r w:rsidRPr="009A2A63">
        <w:t>AR - Antireflection mirror coating</w:t>
      </w:r>
    </w:p>
    <w:p w14:paraId="1FF47CFC" w14:textId="77777777" w:rsidR="00C21426" w:rsidRPr="009A2A63" w:rsidRDefault="00C21426" w:rsidP="005449AA">
      <w:pPr>
        <w:jc w:val="left"/>
      </w:pPr>
      <w:r w:rsidRPr="009A2A63">
        <w:t>BS - Beam Splitter</w:t>
      </w:r>
    </w:p>
    <w:p w14:paraId="016B8ECA" w14:textId="2C751983" w:rsidR="00C21426" w:rsidRPr="009A2A63" w:rsidRDefault="00C21426" w:rsidP="005449AA">
      <w:pPr>
        <w:jc w:val="left"/>
      </w:pPr>
      <w:r w:rsidRPr="009A2A63">
        <w:t xml:space="preserve">BSC </w:t>
      </w:r>
      <w:r w:rsidR="00F43C23">
        <w:t>–</w:t>
      </w:r>
      <w:r w:rsidRPr="009A2A63">
        <w:t xml:space="preserve"> B</w:t>
      </w:r>
      <w:r w:rsidR="00F43C23">
        <w:t>asic Symmetric</w:t>
      </w:r>
      <w:r w:rsidRPr="009A2A63">
        <w:t xml:space="preserve"> Chamber</w:t>
      </w:r>
    </w:p>
    <w:p w14:paraId="16519A8D" w14:textId="77777777" w:rsidR="00C21426" w:rsidRPr="009A2A63" w:rsidRDefault="00C21426" w:rsidP="005449AA">
      <w:pPr>
        <w:jc w:val="left"/>
      </w:pPr>
      <w:r>
        <w:t>CDS – Control and Data System</w:t>
      </w:r>
    </w:p>
    <w:p w14:paraId="53A2CB6B" w14:textId="77777777" w:rsidR="00C21426" w:rsidRDefault="00C21426" w:rsidP="005449AA">
      <w:pPr>
        <w:jc w:val="left"/>
      </w:pPr>
      <w:r>
        <w:t>DAQ – Data Acquisition System</w:t>
      </w:r>
    </w:p>
    <w:p w14:paraId="2762B60E" w14:textId="77777777" w:rsidR="00C21426" w:rsidRDefault="00C21426" w:rsidP="005449AA">
      <w:pPr>
        <w:jc w:val="left"/>
      </w:pPr>
      <w:r>
        <w:t>GS – Gold Standard</w:t>
      </w:r>
    </w:p>
    <w:p w14:paraId="10EF01B8" w14:textId="77777777" w:rsidR="00C21426" w:rsidRPr="009A2A63" w:rsidRDefault="00C21426" w:rsidP="005449AA">
      <w:pPr>
        <w:jc w:val="left"/>
      </w:pPr>
      <w:r w:rsidRPr="009A2A63">
        <w:t>HR – Hi</w:t>
      </w:r>
      <w:r>
        <w:t>gh R</w:t>
      </w:r>
      <w:r w:rsidRPr="009A2A63">
        <w:t>eflectance mirror coating</w:t>
      </w:r>
    </w:p>
    <w:p w14:paraId="3C21A006" w14:textId="77777777" w:rsidR="00C21426" w:rsidRDefault="00C21426" w:rsidP="005449AA">
      <w:pPr>
        <w:jc w:val="left"/>
      </w:pPr>
      <w:r>
        <w:t>HWP- Half Wave Plate</w:t>
      </w:r>
    </w:p>
    <w:p w14:paraId="7104D826" w14:textId="77777777" w:rsidR="00C21426" w:rsidRPr="009A2A63" w:rsidRDefault="00C21426" w:rsidP="005449AA">
      <w:pPr>
        <w:jc w:val="left"/>
      </w:pPr>
      <w:r w:rsidRPr="009A2A63">
        <w:t>IFO - LIGO interferometer</w:t>
      </w:r>
    </w:p>
    <w:p w14:paraId="61E51F11" w14:textId="77777777" w:rsidR="00C21426" w:rsidRPr="009A2A63" w:rsidRDefault="00C21426" w:rsidP="005449AA">
      <w:pPr>
        <w:jc w:val="left"/>
      </w:pPr>
      <w:r w:rsidRPr="009A2A63">
        <w:t>ISC- Interferometer Sensing and Control</w:t>
      </w:r>
    </w:p>
    <w:p w14:paraId="6D23E4A8" w14:textId="77777777" w:rsidR="00C21426" w:rsidRDefault="00C21426" w:rsidP="005449AA">
      <w:pPr>
        <w:jc w:val="left"/>
      </w:pPr>
      <w:r>
        <w:t>Pcal – Photon Calibrator</w:t>
      </w:r>
    </w:p>
    <w:p w14:paraId="1507FFE3" w14:textId="77777777" w:rsidR="00C21426" w:rsidRDefault="00C21426" w:rsidP="005449AA">
      <w:pPr>
        <w:jc w:val="left"/>
      </w:pPr>
      <w:r>
        <w:t>PM – Internal Power Monitor that is located inside of the Photon Calibrator box</w:t>
      </w:r>
    </w:p>
    <w:p w14:paraId="6EF06EDE" w14:textId="77777777" w:rsidR="00C21426" w:rsidRPr="009A2A63" w:rsidRDefault="00C21426" w:rsidP="005449AA">
      <w:pPr>
        <w:jc w:val="left"/>
      </w:pPr>
      <w:proofErr w:type="gramStart"/>
      <w:r w:rsidRPr="009A2A63">
        <w:t>ppm</w:t>
      </w:r>
      <w:proofErr w:type="gramEnd"/>
      <w:r w:rsidRPr="009A2A63">
        <w:t xml:space="preserve"> - parts per million</w:t>
      </w:r>
    </w:p>
    <w:p w14:paraId="07A8E804" w14:textId="77777777" w:rsidR="00C21426" w:rsidRDefault="00C21426" w:rsidP="005449AA">
      <w:pPr>
        <w:jc w:val="left"/>
      </w:pPr>
      <w:r>
        <w:lastRenderedPageBreak/>
        <w:t>QWP – Quarter Wave Plate</w:t>
      </w:r>
    </w:p>
    <w:p w14:paraId="38E54C9B" w14:textId="354F4CDB" w:rsidR="00C21426" w:rsidRDefault="00C21426" w:rsidP="005449AA">
      <w:pPr>
        <w:jc w:val="left"/>
      </w:pPr>
      <w:r>
        <w:t>R</w:t>
      </w:r>
      <w:r w:rsidR="00F43C23">
        <w:t>P</w:t>
      </w:r>
      <w:r>
        <w:t xml:space="preserve">N – Relative </w:t>
      </w:r>
      <w:r w:rsidR="00F43C23">
        <w:t>Power</w:t>
      </w:r>
      <w:r>
        <w:t xml:space="preserve"> Noise</w:t>
      </w:r>
    </w:p>
    <w:p w14:paraId="4FB8A74E" w14:textId="36BB0FF6" w:rsidR="00C21426" w:rsidRDefault="00C21426" w:rsidP="005449AA">
      <w:pPr>
        <w:jc w:val="left"/>
      </w:pPr>
      <w:r>
        <w:t>RMS</w:t>
      </w:r>
      <w:r w:rsidRPr="009A2A63">
        <w:t xml:space="preserve"> </w:t>
      </w:r>
      <w:r w:rsidR="00F43C23">
        <w:t xml:space="preserve">– root </w:t>
      </w:r>
      <w:r w:rsidRPr="009A2A63">
        <w:t>mean</w:t>
      </w:r>
      <w:r w:rsidR="00F43C23">
        <w:t xml:space="preserve"> </w:t>
      </w:r>
      <w:r w:rsidRPr="009A2A63">
        <w:t>square</w:t>
      </w:r>
    </w:p>
    <w:p w14:paraId="79F742BC" w14:textId="77777777" w:rsidR="00C21426" w:rsidRDefault="00C21426" w:rsidP="005449AA">
      <w:pPr>
        <w:jc w:val="left"/>
      </w:pPr>
      <w:r>
        <w:t>SNR – Signal-to-Noise Ratio</w:t>
      </w:r>
    </w:p>
    <w:p w14:paraId="208B647E" w14:textId="77777777" w:rsidR="00C21426" w:rsidRDefault="00C21426" w:rsidP="005449AA">
      <w:pPr>
        <w:jc w:val="left"/>
      </w:pPr>
      <w:r>
        <w:t>WS – Working Standard</w:t>
      </w:r>
    </w:p>
    <w:p w14:paraId="1E9B020E" w14:textId="77777777" w:rsidR="00C21426" w:rsidRDefault="00C21426" w:rsidP="005449AA">
      <w:pPr>
        <w:jc w:val="left"/>
      </w:pPr>
      <w:r>
        <w:t>WSH – Working Standard Hanford</w:t>
      </w:r>
    </w:p>
    <w:p w14:paraId="3BAA831E" w14:textId="77777777" w:rsidR="00C21426" w:rsidRDefault="00C21426" w:rsidP="005449AA">
      <w:pPr>
        <w:jc w:val="left"/>
      </w:pPr>
      <w:r>
        <w:t>WSL – Working Standard Livingston</w:t>
      </w:r>
    </w:p>
    <w:p w14:paraId="6E007547" w14:textId="77777777" w:rsidR="008678BC" w:rsidRPr="009A2A63" w:rsidRDefault="008678BC" w:rsidP="005449AA">
      <w:pPr>
        <w:jc w:val="left"/>
      </w:pPr>
    </w:p>
    <w:p w14:paraId="7987B28A" w14:textId="65D94933" w:rsidR="00C21426" w:rsidRPr="008678BC" w:rsidRDefault="00C21426" w:rsidP="005449AA">
      <w:pPr>
        <w:pStyle w:val="ListParagraph"/>
        <w:numPr>
          <w:ilvl w:val="0"/>
          <w:numId w:val="26"/>
        </w:numPr>
        <w:jc w:val="left"/>
        <w:rPr>
          <w:b/>
          <w:u w:val="single"/>
        </w:rPr>
      </w:pPr>
      <w:r w:rsidRPr="008678BC">
        <w:rPr>
          <w:b/>
          <w:u w:val="single"/>
        </w:rPr>
        <w:t>Relevant Documents</w:t>
      </w:r>
    </w:p>
    <w:p w14:paraId="78D97CF6" w14:textId="77777777" w:rsidR="00C21426" w:rsidRPr="00F90E58" w:rsidRDefault="00C21426" w:rsidP="005449AA">
      <w:pPr>
        <w:jc w:val="left"/>
        <w:rPr>
          <w:i/>
          <w:iCs/>
        </w:rPr>
      </w:pPr>
      <w:r>
        <w:rPr>
          <w:i/>
          <w:iCs/>
        </w:rPr>
        <w:t>DCC references in italics refer to external documents.</w:t>
      </w:r>
    </w:p>
    <w:tbl>
      <w:tblPr>
        <w:tblStyle w:val="TableGrid"/>
        <w:tblW w:w="5000" w:type="pct"/>
        <w:tblLook w:val="04A0" w:firstRow="1" w:lastRow="0" w:firstColumn="1" w:lastColumn="0" w:noHBand="0" w:noVBand="1"/>
      </w:tblPr>
      <w:tblGrid>
        <w:gridCol w:w="8027"/>
        <w:gridCol w:w="1779"/>
      </w:tblGrid>
      <w:tr w:rsidR="00C21426" w14:paraId="5892025C" w14:textId="77777777" w:rsidTr="00C21426">
        <w:trPr>
          <w:trHeight w:val="359"/>
        </w:trPr>
        <w:tc>
          <w:tcPr>
            <w:tcW w:w="4093" w:type="pct"/>
          </w:tcPr>
          <w:p w14:paraId="4A9BF316" w14:textId="77777777" w:rsidR="00C21426" w:rsidRPr="00D42FC2" w:rsidRDefault="00C21426" w:rsidP="005449AA">
            <w:pPr>
              <w:jc w:val="left"/>
              <w:rPr>
                <w:b/>
                <w:bCs/>
              </w:rPr>
            </w:pPr>
            <w:r w:rsidRPr="00D42FC2">
              <w:rPr>
                <w:b/>
                <w:bCs/>
              </w:rPr>
              <w:t>Title</w:t>
            </w:r>
          </w:p>
        </w:tc>
        <w:tc>
          <w:tcPr>
            <w:tcW w:w="907" w:type="pct"/>
          </w:tcPr>
          <w:p w14:paraId="5BC9676F" w14:textId="77777777" w:rsidR="00C21426" w:rsidRPr="00D42FC2" w:rsidRDefault="00C21426" w:rsidP="005449AA">
            <w:pPr>
              <w:jc w:val="left"/>
              <w:rPr>
                <w:b/>
                <w:bCs/>
              </w:rPr>
            </w:pPr>
            <w:r w:rsidRPr="00D42FC2">
              <w:rPr>
                <w:b/>
                <w:bCs/>
              </w:rPr>
              <w:t>LIGO-DCC#:</w:t>
            </w:r>
          </w:p>
        </w:tc>
      </w:tr>
      <w:tr w:rsidR="00C21426" w14:paraId="3A734906" w14:textId="77777777" w:rsidTr="00C21426">
        <w:trPr>
          <w:trHeight w:val="359"/>
        </w:trPr>
        <w:tc>
          <w:tcPr>
            <w:tcW w:w="4093" w:type="pct"/>
          </w:tcPr>
          <w:p w14:paraId="747178FB" w14:textId="77777777" w:rsidR="00C21426" w:rsidRPr="00D42FC2" w:rsidRDefault="00C21426" w:rsidP="005449AA">
            <w:pPr>
              <w:jc w:val="left"/>
              <w:rPr>
                <w:i/>
                <w:iCs/>
              </w:rPr>
            </w:pPr>
            <w:r w:rsidRPr="00D42FC2">
              <w:rPr>
                <w:i/>
                <w:iCs/>
              </w:rPr>
              <w:t>Precise calibration of LIGO test mass actuators using photon radiation pressure</w:t>
            </w:r>
          </w:p>
        </w:tc>
        <w:tc>
          <w:tcPr>
            <w:tcW w:w="907" w:type="pct"/>
            <w:vAlign w:val="center"/>
          </w:tcPr>
          <w:p w14:paraId="403B3529" w14:textId="77777777" w:rsidR="00C21426" w:rsidRDefault="00E57C6B" w:rsidP="005449AA">
            <w:pPr>
              <w:jc w:val="left"/>
            </w:pPr>
            <w:hyperlink r:id="rId12" w:history="1">
              <w:r w:rsidR="00C21426" w:rsidRPr="00AF32BA">
                <w:rPr>
                  <w:rStyle w:val="Hyperlink"/>
                </w:rPr>
                <w:t>P080118</w:t>
              </w:r>
            </w:hyperlink>
          </w:p>
        </w:tc>
      </w:tr>
      <w:tr w:rsidR="00C21426" w14:paraId="7523337D" w14:textId="77777777" w:rsidTr="00C21426">
        <w:trPr>
          <w:trHeight w:val="359"/>
        </w:trPr>
        <w:tc>
          <w:tcPr>
            <w:tcW w:w="4093" w:type="pct"/>
          </w:tcPr>
          <w:p w14:paraId="73C550EE" w14:textId="77777777" w:rsidR="00C21426" w:rsidRPr="00D42FC2" w:rsidRDefault="00C21426" w:rsidP="005449AA">
            <w:pPr>
              <w:jc w:val="left"/>
              <w:rPr>
                <w:i/>
                <w:iCs/>
              </w:rPr>
            </w:pPr>
            <w:r w:rsidRPr="00D42FC2">
              <w:rPr>
                <w:i/>
                <w:iCs/>
              </w:rPr>
              <w:t>Accurate calibration of test mass displacement in the LIGO interferometers</w:t>
            </w:r>
          </w:p>
        </w:tc>
        <w:tc>
          <w:tcPr>
            <w:tcW w:w="907" w:type="pct"/>
            <w:vAlign w:val="center"/>
          </w:tcPr>
          <w:p w14:paraId="73BEADEC" w14:textId="77777777" w:rsidR="00C21426" w:rsidRDefault="00E57C6B" w:rsidP="005449AA">
            <w:pPr>
              <w:jc w:val="left"/>
            </w:pPr>
            <w:hyperlink r:id="rId13" w:history="1">
              <w:r w:rsidR="00C21426" w:rsidRPr="00F06B50">
                <w:rPr>
                  <w:rStyle w:val="Hyperlink"/>
                </w:rPr>
                <w:t>P0900155</w:t>
              </w:r>
            </w:hyperlink>
          </w:p>
        </w:tc>
      </w:tr>
      <w:tr w:rsidR="00C21426" w14:paraId="012BAEBA" w14:textId="77777777" w:rsidTr="00C21426">
        <w:tc>
          <w:tcPr>
            <w:tcW w:w="4093" w:type="pct"/>
          </w:tcPr>
          <w:p w14:paraId="627B2CE2" w14:textId="77777777" w:rsidR="00C21426" w:rsidRPr="00D42FC2" w:rsidRDefault="00C21426" w:rsidP="005449AA">
            <w:pPr>
              <w:jc w:val="left"/>
              <w:rPr>
                <w:i/>
                <w:iCs/>
              </w:rPr>
            </w:pPr>
            <w:r w:rsidRPr="00D42FC2">
              <w:rPr>
                <w:i/>
                <w:iCs/>
              </w:rPr>
              <w:t>Photon Calibrator Upgrades Proposal</w:t>
            </w:r>
          </w:p>
        </w:tc>
        <w:tc>
          <w:tcPr>
            <w:tcW w:w="907" w:type="pct"/>
            <w:vAlign w:val="center"/>
          </w:tcPr>
          <w:p w14:paraId="2A75B84A" w14:textId="77777777" w:rsidR="00C21426" w:rsidRDefault="00E57C6B" w:rsidP="005449AA">
            <w:pPr>
              <w:jc w:val="left"/>
            </w:pPr>
            <w:hyperlink r:id="rId14" w:history="1">
              <w:r w:rsidR="00C21426" w:rsidRPr="00B65EA0">
                <w:rPr>
                  <w:rStyle w:val="Hyperlink"/>
                </w:rPr>
                <w:t>T070094</w:t>
              </w:r>
            </w:hyperlink>
          </w:p>
        </w:tc>
      </w:tr>
      <w:tr w:rsidR="00C21426" w14:paraId="34E3045A" w14:textId="77777777" w:rsidTr="00C21426">
        <w:tc>
          <w:tcPr>
            <w:tcW w:w="4093" w:type="pct"/>
          </w:tcPr>
          <w:p w14:paraId="03DABFC2" w14:textId="77777777" w:rsidR="00C21426" w:rsidRPr="00D42FC2" w:rsidRDefault="00C21426" w:rsidP="005449AA">
            <w:pPr>
              <w:jc w:val="left"/>
              <w:rPr>
                <w:i/>
                <w:iCs/>
              </w:rPr>
            </w:pPr>
            <w:r w:rsidRPr="00D42FC2">
              <w:rPr>
                <w:i/>
                <w:iCs/>
              </w:rPr>
              <w:t>Photon Calibrator Conceptual Design</w:t>
            </w:r>
            <w:r>
              <w:rPr>
                <w:i/>
                <w:iCs/>
              </w:rPr>
              <w:t xml:space="preserve"> Document</w:t>
            </w:r>
          </w:p>
        </w:tc>
        <w:tc>
          <w:tcPr>
            <w:tcW w:w="907" w:type="pct"/>
            <w:vAlign w:val="center"/>
          </w:tcPr>
          <w:p w14:paraId="79FB3311" w14:textId="77777777" w:rsidR="00C21426" w:rsidRDefault="00E57C6B" w:rsidP="005449AA">
            <w:pPr>
              <w:jc w:val="left"/>
            </w:pPr>
            <w:hyperlink r:id="rId15" w:history="1">
              <w:r w:rsidR="00C21426" w:rsidRPr="00B65EA0">
                <w:rPr>
                  <w:rStyle w:val="Hyperlink"/>
                </w:rPr>
                <w:t>T070167</w:t>
              </w:r>
            </w:hyperlink>
          </w:p>
        </w:tc>
      </w:tr>
      <w:tr w:rsidR="00C21426" w14:paraId="1DF639D0" w14:textId="77777777" w:rsidTr="00C21426">
        <w:tc>
          <w:tcPr>
            <w:tcW w:w="4093" w:type="pct"/>
          </w:tcPr>
          <w:p w14:paraId="042ABDF3" w14:textId="77777777" w:rsidR="00C21426" w:rsidRPr="00D42FC2" w:rsidRDefault="00C21426" w:rsidP="005449AA">
            <w:pPr>
              <w:jc w:val="left"/>
              <w:rPr>
                <w:i/>
                <w:iCs/>
              </w:rPr>
            </w:pPr>
            <w:r w:rsidRPr="00D42FC2">
              <w:rPr>
                <w:i/>
                <w:iCs/>
              </w:rPr>
              <w:t>Photon Calibrator Response to Reviewer’s Report</w:t>
            </w:r>
          </w:p>
        </w:tc>
        <w:tc>
          <w:tcPr>
            <w:tcW w:w="907" w:type="pct"/>
            <w:vAlign w:val="center"/>
          </w:tcPr>
          <w:p w14:paraId="76C5D12A" w14:textId="77777777" w:rsidR="00C21426" w:rsidRDefault="00E57C6B" w:rsidP="005449AA">
            <w:pPr>
              <w:jc w:val="left"/>
            </w:pPr>
            <w:hyperlink r:id="rId16" w:history="1">
              <w:r w:rsidR="00C21426" w:rsidRPr="00B65EA0">
                <w:rPr>
                  <w:rStyle w:val="Hyperlink"/>
                </w:rPr>
                <w:t>G070601</w:t>
              </w:r>
            </w:hyperlink>
          </w:p>
        </w:tc>
      </w:tr>
      <w:tr w:rsidR="00C21426" w14:paraId="02FE9373" w14:textId="77777777" w:rsidTr="00C21426">
        <w:tc>
          <w:tcPr>
            <w:tcW w:w="4093" w:type="pct"/>
          </w:tcPr>
          <w:p w14:paraId="0A14964A" w14:textId="77777777" w:rsidR="00C21426" w:rsidRPr="00D42FC2" w:rsidRDefault="00C21426" w:rsidP="005449AA">
            <w:pPr>
              <w:jc w:val="left"/>
              <w:rPr>
                <w:i/>
                <w:iCs/>
              </w:rPr>
            </w:pPr>
            <w:r w:rsidRPr="00D42FC2">
              <w:rPr>
                <w:i/>
                <w:iCs/>
              </w:rPr>
              <w:t>Photon Calibrator Design Requirements</w:t>
            </w:r>
          </w:p>
        </w:tc>
        <w:tc>
          <w:tcPr>
            <w:tcW w:w="907" w:type="pct"/>
            <w:vAlign w:val="center"/>
          </w:tcPr>
          <w:p w14:paraId="52D6516D" w14:textId="77777777" w:rsidR="00C21426" w:rsidRDefault="00E57C6B" w:rsidP="005449AA">
            <w:pPr>
              <w:jc w:val="left"/>
            </w:pPr>
            <w:hyperlink r:id="rId17" w:history="1">
              <w:r w:rsidR="00C21426" w:rsidRPr="00B65EA0">
                <w:rPr>
                  <w:rStyle w:val="Hyperlink"/>
                </w:rPr>
                <w:t>T1100044</w:t>
              </w:r>
            </w:hyperlink>
          </w:p>
        </w:tc>
      </w:tr>
      <w:tr w:rsidR="00C21426" w14:paraId="73E84875" w14:textId="77777777" w:rsidTr="00C21426">
        <w:tc>
          <w:tcPr>
            <w:tcW w:w="4093" w:type="pct"/>
          </w:tcPr>
          <w:p w14:paraId="7B6B55E0" w14:textId="77777777" w:rsidR="00C21426" w:rsidRPr="00D42FC2" w:rsidRDefault="00C21426" w:rsidP="005449AA">
            <w:pPr>
              <w:jc w:val="left"/>
              <w:rPr>
                <w:i/>
                <w:iCs/>
              </w:rPr>
            </w:pPr>
            <w:r w:rsidRPr="00D42FC2">
              <w:rPr>
                <w:i/>
                <w:iCs/>
              </w:rPr>
              <w:t>aLIGO Calibration White Paper</w:t>
            </w:r>
          </w:p>
        </w:tc>
        <w:tc>
          <w:tcPr>
            <w:tcW w:w="907" w:type="pct"/>
            <w:vAlign w:val="center"/>
          </w:tcPr>
          <w:p w14:paraId="5FCA6DEF" w14:textId="77777777" w:rsidR="00C21426" w:rsidRDefault="00E57C6B" w:rsidP="005449AA">
            <w:pPr>
              <w:jc w:val="left"/>
            </w:pPr>
            <w:hyperlink r:id="rId18" w:history="1">
              <w:r w:rsidR="00C21426" w:rsidRPr="00B65EA0">
                <w:rPr>
                  <w:rStyle w:val="Hyperlink"/>
                </w:rPr>
                <w:t>T1100122</w:t>
              </w:r>
            </w:hyperlink>
          </w:p>
        </w:tc>
      </w:tr>
      <w:tr w:rsidR="00C21426" w14:paraId="263F7C79" w14:textId="77777777" w:rsidTr="00C21426">
        <w:tc>
          <w:tcPr>
            <w:tcW w:w="4093" w:type="pct"/>
          </w:tcPr>
          <w:p w14:paraId="732F9DE2" w14:textId="77777777" w:rsidR="00C21426" w:rsidRPr="00D42FC2" w:rsidRDefault="00C21426" w:rsidP="005449AA">
            <w:pPr>
              <w:jc w:val="left"/>
              <w:rPr>
                <w:i/>
                <w:iCs/>
              </w:rPr>
            </w:pPr>
            <w:r w:rsidRPr="00D42FC2">
              <w:rPr>
                <w:i/>
                <w:iCs/>
              </w:rPr>
              <w:t>Viewport Subsystem Preliminary Design Document</w:t>
            </w:r>
          </w:p>
        </w:tc>
        <w:tc>
          <w:tcPr>
            <w:tcW w:w="907" w:type="pct"/>
            <w:vAlign w:val="center"/>
          </w:tcPr>
          <w:p w14:paraId="04C8CBCF" w14:textId="77777777" w:rsidR="00C21426" w:rsidRDefault="00E57C6B" w:rsidP="005449AA">
            <w:pPr>
              <w:jc w:val="left"/>
            </w:pPr>
            <w:hyperlink r:id="rId19" w:history="1">
              <w:r w:rsidR="00C21426" w:rsidRPr="00F5620D">
                <w:rPr>
                  <w:rStyle w:val="Hyperlink"/>
                </w:rPr>
                <w:t>T1000023</w:t>
              </w:r>
            </w:hyperlink>
          </w:p>
        </w:tc>
      </w:tr>
      <w:tr w:rsidR="00C21426" w14:paraId="3D94C708" w14:textId="77777777" w:rsidTr="00C21426">
        <w:tc>
          <w:tcPr>
            <w:tcW w:w="4093" w:type="pct"/>
          </w:tcPr>
          <w:p w14:paraId="6C96F13E" w14:textId="77777777" w:rsidR="00C21426" w:rsidRPr="00D42FC2" w:rsidRDefault="00C21426" w:rsidP="005449AA">
            <w:pPr>
              <w:jc w:val="left"/>
              <w:rPr>
                <w:i/>
                <w:iCs/>
              </w:rPr>
            </w:pPr>
            <w:r w:rsidRPr="00651205">
              <w:rPr>
                <w:i/>
                <w:iCs/>
              </w:rPr>
              <w:t>Optimal calibration accuracy for gravitational-wave detectors</w:t>
            </w:r>
          </w:p>
        </w:tc>
        <w:tc>
          <w:tcPr>
            <w:tcW w:w="907" w:type="pct"/>
            <w:vAlign w:val="center"/>
          </w:tcPr>
          <w:p w14:paraId="75B1B5B5" w14:textId="5A537A8F" w:rsidR="00C21426" w:rsidRPr="00651205" w:rsidRDefault="00E57C6B" w:rsidP="005449AA">
            <w:pPr>
              <w:jc w:val="left"/>
              <w:rPr>
                <w:i/>
                <w:iCs/>
              </w:rPr>
            </w:pPr>
            <w:hyperlink r:id="rId20" w:history="1">
              <w:r w:rsidR="003E6BB3">
                <w:rPr>
                  <w:rStyle w:val="Hyperlink"/>
                  <w:i/>
                  <w:iCs/>
                </w:rPr>
                <w:t xml:space="preserve">PRD-Aug </w:t>
              </w:r>
              <w:r w:rsidR="00C21426" w:rsidRPr="00651205">
                <w:rPr>
                  <w:rStyle w:val="Hyperlink"/>
                  <w:i/>
                  <w:iCs/>
                </w:rPr>
                <w:t>2009</w:t>
              </w:r>
            </w:hyperlink>
          </w:p>
        </w:tc>
      </w:tr>
      <w:tr w:rsidR="00C21426" w14:paraId="38E60C1F" w14:textId="77777777" w:rsidTr="00C21426">
        <w:tc>
          <w:tcPr>
            <w:tcW w:w="4093" w:type="pct"/>
          </w:tcPr>
          <w:p w14:paraId="0FA45580" w14:textId="77777777" w:rsidR="00C21426" w:rsidRPr="00D42FC2" w:rsidRDefault="00C21426" w:rsidP="005449AA">
            <w:pPr>
              <w:jc w:val="left"/>
              <w:rPr>
                <w:i/>
                <w:iCs/>
              </w:rPr>
            </w:pPr>
            <w:r w:rsidRPr="00D42FC2">
              <w:rPr>
                <w:i/>
                <w:iCs/>
              </w:rPr>
              <w:t>NIST: Report of Calibration for First Photon Calibrator Calibration</w:t>
            </w:r>
          </w:p>
        </w:tc>
        <w:tc>
          <w:tcPr>
            <w:tcW w:w="907" w:type="pct"/>
            <w:vAlign w:val="center"/>
          </w:tcPr>
          <w:p w14:paraId="2E70CFF1" w14:textId="77777777" w:rsidR="00C21426" w:rsidRDefault="00E57C6B" w:rsidP="005449AA">
            <w:pPr>
              <w:jc w:val="left"/>
            </w:pPr>
            <w:hyperlink r:id="rId21" w:history="1">
              <w:r w:rsidR="00C21426" w:rsidRPr="00425687">
                <w:rPr>
                  <w:rStyle w:val="Hyperlink"/>
                </w:rPr>
                <w:t>T1000637</w:t>
              </w:r>
            </w:hyperlink>
          </w:p>
        </w:tc>
      </w:tr>
      <w:tr w:rsidR="00C21426" w14:paraId="2FC79DB6" w14:textId="77777777" w:rsidTr="00C21426">
        <w:tc>
          <w:tcPr>
            <w:tcW w:w="4093" w:type="pct"/>
          </w:tcPr>
          <w:p w14:paraId="6C6BC43F" w14:textId="77777777" w:rsidR="00C21426" w:rsidRPr="00D42FC2" w:rsidRDefault="00C21426" w:rsidP="005449AA">
            <w:pPr>
              <w:jc w:val="left"/>
              <w:rPr>
                <w:i/>
                <w:iCs/>
              </w:rPr>
            </w:pPr>
            <w:r w:rsidRPr="00D42FC2">
              <w:rPr>
                <w:i/>
                <w:iCs/>
              </w:rPr>
              <w:t>NIST Report of Special Test</w:t>
            </w:r>
          </w:p>
        </w:tc>
        <w:tc>
          <w:tcPr>
            <w:tcW w:w="907" w:type="pct"/>
            <w:vAlign w:val="center"/>
          </w:tcPr>
          <w:p w14:paraId="7D548D8F" w14:textId="77777777" w:rsidR="00C21426" w:rsidRDefault="00E57C6B" w:rsidP="005449AA">
            <w:pPr>
              <w:jc w:val="left"/>
            </w:pPr>
            <w:hyperlink r:id="rId22" w:history="1">
              <w:r w:rsidR="00C21426" w:rsidRPr="00C55016">
                <w:rPr>
                  <w:rStyle w:val="Hyperlink"/>
                </w:rPr>
                <w:t>T070246</w:t>
              </w:r>
            </w:hyperlink>
            <w:r w:rsidR="00C21426">
              <w:t xml:space="preserve"> </w:t>
            </w:r>
          </w:p>
        </w:tc>
      </w:tr>
      <w:tr w:rsidR="00C21426" w14:paraId="2785E7B5" w14:textId="77777777" w:rsidTr="00C21426">
        <w:tc>
          <w:tcPr>
            <w:tcW w:w="4093" w:type="pct"/>
          </w:tcPr>
          <w:p w14:paraId="17FA2536" w14:textId="77777777" w:rsidR="00C21426" w:rsidRPr="00D42FC2" w:rsidRDefault="00C21426" w:rsidP="005449AA">
            <w:pPr>
              <w:jc w:val="left"/>
              <w:rPr>
                <w:i/>
                <w:iCs/>
              </w:rPr>
            </w:pPr>
            <w:r w:rsidRPr="00D42FC2">
              <w:rPr>
                <w:i/>
                <w:iCs/>
              </w:rPr>
              <w:t>Photon calibrator gold standard calibration at NIST - Report of Calibration (42110CA)</w:t>
            </w:r>
          </w:p>
        </w:tc>
        <w:tc>
          <w:tcPr>
            <w:tcW w:w="907" w:type="pct"/>
            <w:vAlign w:val="center"/>
          </w:tcPr>
          <w:p w14:paraId="72725724" w14:textId="77777777" w:rsidR="00C21426" w:rsidRDefault="00E57C6B" w:rsidP="005449AA">
            <w:pPr>
              <w:jc w:val="left"/>
            </w:pPr>
            <w:hyperlink r:id="rId23" w:history="1">
              <w:r w:rsidR="00C21426" w:rsidRPr="00425687">
                <w:rPr>
                  <w:rStyle w:val="Hyperlink"/>
                </w:rPr>
                <w:t>T1000189</w:t>
              </w:r>
            </w:hyperlink>
          </w:p>
        </w:tc>
      </w:tr>
      <w:tr w:rsidR="00C21426" w14:paraId="1BDB2464" w14:textId="77777777" w:rsidTr="00C21426">
        <w:tc>
          <w:tcPr>
            <w:tcW w:w="4093" w:type="pct"/>
          </w:tcPr>
          <w:p w14:paraId="5716C652" w14:textId="77777777" w:rsidR="00C21426" w:rsidRPr="00D42FC2" w:rsidRDefault="00C21426" w:rsidP="005449AA">
            <w:pPr>
              <w:jc w:val="left"/>
              <w:rPr>
                <w:i/>
                <w:iCs/>
              </w:rPr>
            </w:pPr>
            <w:r w:rsidRPr="00F90E58">
              <w:rPr>
                <w:i/>
                <w:iCs/>
              </w:rPr>
              <w:t>NIST Measurement Services:</w:t>
            </w:r>
            <w:r>
              <w:rPr>
                <w:i/>
                <w:iCs/>
              </w:rPr>
              <w:t xml:space="preserve"> </w:t>
            </w:r>
            <w:proofErr w:type="spellStart"/>
            <w:r w:rsidRPr="00F90E58">
              <w:rPr>
                <w:i/>
                <w:iCs/>
              </w:rPr>
              <w:t>cw</w:t>
            </w:r>
            <w:proofErr w:type="spellEnd"/>
            <w:r w:rsidRPr="00F90E58">
              <w:rPr>
                <w:i/>
                <w:iCs/>
              </w:rPr>
              <w:t xml:space="preserve"> Laser Power and Energy</w:t>
            </w:r>
            <w:r>
              <w:rPr>
                <w:i/>
                <w:iCs/>
              </w:rPr>
              <w:t xml:space="preserve"> </w:t>
            </w:r>
            <w:r w:rsidRPr="00F90E58">
              <w:rPr>
                <w:i/>
                <w:iCs/>
              </w:rPr>
              <w:t>Calibrations at NIST</w:t>
            </w:r>
          </w:p>
        </w:tc>
        <w:tc>
          <w:tcPr>
            <w:tcW w:w="907" w:type="pct"/>
            <w:vAlign w:val="center"/>
          </w:tcPr>
          <w:p w14:paraId="1FC32124" w14:textId="77777777" w:rsidR="00C21426" w:rsidRPr="00F90E58" w:rsidRDefault="00E57C6B" w:rsidP="005449AA">
            <w:pPr>
              <w:jc w:val="left"/>
              <w:rPr>
                <w:i/>
                <w:iCs/>
              </w:rPr>
            </w:pPr>
            <w:hyperlink r:id="rId24" w:history="1">
              <w:r w:rsidR="00C21426" w:rsidRPr="00F90E58">
                <w:rPr>
                  <w:rStyle w:val="Hyperlink"/>
                  <w:i/>
                  <w:iCs/>
                </w:rPr>
                <w:t>NIST SP 250-75</w:t>
              </w:r>
            </w:hyperlink>
          </w:p>
        </w:tc>
      </w:tr>
      <w:tr w:rsidR="00C21426" w14:paraId="035B9F86" w14:textId="77777777" w:rsidTr="00C21426">
        <w:tc>
          <w:tcPr>
            <w:tcW w:w="4093" w:type="pct"/>
          </w:tcPr>
          <w:p w14:paraId="410FE0A7" w14:textId="77777777" w:rsidR="00C21426" w:rsidRPr="00D42FC2" w:rsidRDefault="00C21426" w:rsidP="005449AA">
            <w:pPr>
              <w:jc w:val="left"/>
              <w:rPr>
                <w:i/>
                <w:iCs/>
              </w:rPr>
            </w:pPr>
            <w:r w:rsidRPr="00D42FC2">
              <w:rPr>
                <w:i/>
                <w:iCs/>
              </w:rPr>
              <w:t>aLIGO Photon Calibrator Errors due to Elastic Deformation</w:t>
            </w:r>
          </w:p>
        </w:tc>
        <w:tc>
          <w:tcPr>
            <w:tcW w:w="907" w:type="pct"/>
            <w:vAlign w:val="center"/>
          </w:tcPr>
          <w:p w14:paraId="192A35B8" w14:textId="77777777" w:rsidR="00C21426" w:rsidRDefault="00E57C6B" w:rsidP="005449AA">
            <w:pPr>
              <w:jc w:val="left"/>
            </w:pPr>
            <w:hyperlink r:id="rId25" w:history="1">
              <w:r w:rsidR="00C21426" w:rsidRPr="004419C9">
                <w:rPr>
                  <w:rStyle w:val="Hyperlink"/>
                </w:rPr>
                <w:t>G1100332</w:t>
              </w:r>
            </w:hyperlink>
          </w:p>
        </w:tc>
      </w:tr>
      <w:tr w:rsidR="00B5600A" w14:paraId="304C996B" w14:textId="77777777" w:rsidTr="00C21426">
        <w:tc>
          <w:tcPr>
            <w:tcW w:w="4093" w:type="pct"/>
          </w:tcPr>
          <w:p w14:paraId="3BDDA51B" w14:textId="2A5F2CAF" w:rsidR="00B5600A" w:rsidRPr="00FE7C4D" w:rsidRDefault="00B5600A" w:rsidP="005449AA">
            <w:pPr>
              <w:jc w:val="left"/>
              <w:rPr>
                <w:i/>
              </w:rPr>
            </w:pPr>
            <w:r w:rsidRPr="00FE7C4D">
              <w:rPr>
                <w:i/>
                <w:iCs/>
              </w:rPr>
              <w:t>eLIGO</w:t>
            </w:r>
            <w:r w:rsidRPr="00FE7C4D">
              <w:rPr>
                <w:i/>
              </w:rPr>
              <w:t xml:space="preserve"> Photon Calibrator investigation: long term stability of DARM actuation</w:t>
            </w:r>
          </w:p>
        </w:tc>
        <w:tc>
          <w:tcPr>
            <w:tcW w:w="907" w:type="pct"/>
            <w:vAlign w:val="center"/>
          </w:tcPr>
          <w:p w14:paraId="4113D12E" w14:textId="656E40A8" w:rsidR="00B5600A" w:rsidRDefault="00E57C6B" w:rsidP="005449AA">
            <w:pPr>
              <w:jc w:val="left"/>
            </w:pPr>
            <w:hyperlink r:id="rId26" w:history="1">
              <w:r w:rsidR="00B5600A" w:rsidRPr="00B5600A">
                <w:rPr>
                  <w:rStyle w:val="Hyperlink"/>
                </w:rPr>
                <w:t>G1000254</w:t>
              </w:r>
            </w:hyperlink>
          </w:p>
        </w:tc>
      </w:tr>
      <w:tr w:rsidR="00B5600A" w14:paraId="1DC10268" w14:textId="77777777" w:rsidTr="00C21426">
        <w:tc>
          <w:tcPr>
            <w:tcW w:w="4093" w:type="pct"/>
          </w:tcPr>
          <w:p w14:paraId="3F0A41A5" w14:textId="26E83D92" w:rsidR="00B5600A" w:rsidRPr="00FE7C4D" w:rsidRDefault="00B5600A" w:rsidP="005449AA">
            <w:pPr>
              <w:jc w:val="left"/>
              <w:rPr>
                <w:i/>
              </w:rPr>
            </w:pPr>
            <w:r w:rsidRPr="00FE7C4D">
              <w:rPr>
                <w:i/>
              </w:rPr>
              <w:t>Characterization of Photon Calibrator data from S6</w:t>
            </w:r>
          </w:p>
        </w:tc>
        <w:tc>
          <w:tcPr>
            <w:tcW w:w="907" w:type="pct"/>
            <w:vAlign w:val="center"/>
          </w:tcPr>
          <w:p w14:paraId="07853EA5" w14:textId="0828994F" w:rsidR="00B5600A" w:rsidRDefault="00E57C6B" w:rsidP="005449AA">
            <w:pPr>
              <w:jc w:val="left"/>
            </w:pPr>
            <w:hyperlink r:id="rId27" w:history="1">
              <w:r w:rsidR="00B5600A" w:rsidRPr="00B5600A">
                <w:rPr>
                  <w:rStyle w:val="Hyperlink"/>
                </w:rPr>
                <w:t>G1000913</w:t>
              </w:r>
            </w:hyperlink>
          </w:p>
        </w:tc>
      </w:tr>
      <w:tr w:rsidR="00C21426" w14:paraId="728E21B1" w14:textId="77777777" w:rsidTr="00C21426">
        <w:tc>
          <w:tcPr>
            <w:tcW w:w="4093" w:type="pct"/>
          </w:tcPr>
          <w:p w14:paraId="6D039CB0" w14:textId="77777777" w:rsidR="00C21426" w:rsidRPr="00D42FC2" w:rsidRDefault="00C21426" w:rsidP="005449AA">
            <w:pPr>
              <w:jc w:val="left"/>
              <w:rPr>
                <w:i/>
                <w:iCs/>
              </w:rPr>
            </w:pPr>
            <w:r w:rsidRPr="00D42FC2">
              <w:rPr>
                <w:i/>
                <w:iCs/>
              </w:rPr>
              <w:t>Photon Calibrator Investigations During S6</w:t>
            </w:r>
          </w:p>
        </w:tc>
        <w:tc>
          <w:tcPr>
            <w:tcW w:w="907" w:type="pct"/>
            <w:vAlign w:val="center"/>
          </w:tcPr>
          <w:p w14:paraId="3E9EF0F1" w14:textId="77777777" w:rsidR="00C21426" w:rsidRDefault="00E57C6B" w:rsidP="005449AA">
            <w:pPr>
              <w:jc w:val="left"/>
            </w:pPr>
            <w:hyperlink r:id="rId28" w:history="1">
              <w:r w:rsidR="00C21426" w:rsidRPr="004419C9">
                <w:rPr>
                  <w:rStyle w:val="Hyperlink"/>
                </w:rPr>
                <w:t>G1100189</w:t>
              </w:r>
            </w:hyperlink>
          </w:p>
        </w:tc>
      </w:tr>
      <w:tr w:rsidR="00C21426" w14:paraId="4E8410E2" w14:textId="77777777" w:rsidTr="00C21426">
        <w:tc>
          <w:tcPr>
            <w:tcW w:w="4093" w:type="pct"/>
          </w:tcPr>
          <w:p w14:paraId="51AF82D4" w14:textId="77777777" w:rsidR="00C21426" w:rsidRPr="00D42FC2" w:rsidRDefault="00C21426" w:rsidP="005449AA">
            <w:pPr>
              <w:jc w:val="left"/>
              <w:rPr>
                <w:i/>
                <w:iCs/>
              </w:rPr>
            </w:pPr>
            <w:r w:rsidRPr="00D42FC2">
              <w:rPr>
                <w:i/>
                <w:iCs/>
              </w:rPr>
              <w:t>AOS Pcal Technical Status - NSF 2011</w:t>
            </w:r>
          </w:p>
        </w:tc>
        <w:tc>
          <w:tcPr>
            <w:tcW w:w="907" w:type="pct"/>
            <w:vAlign w:val="center"/>
          </w:tcPr>
          <w:p w14:paraId="553ADED9" w14:textId="77777777" w:rsidR="00C21426" w:rsidRDefault="00E57C6B" w:rsidP="005449AA">
            <w:pPr>
              <w:jc w:val="left"/>
            </w:pPr>
            <w:hyperlink r:id="rId29" w:history="1">
              <w:r w:rsidR="00C21426" w:rsidRPr="004419C9">
                <w:rPr>
                  <w:rStyle w:val="Hyperlink"/>
                </w:rPr>
                <w:t>G1100454</w:t>
              </w:r>
            </w:hyperlink>
          </w:p>
        </w:tc>
      </w:tr>
      <w:tr w:rsidR="003F690B" w14:paraId="180BDD19" w14:textId="77777777" w:rsidTr="00C21426">
        <w:tc>
          <w:tcPr>
            <w:tcW w:w="4093" w:type="pct"/>
          </w:tcPr>
          <w:p w14:paraId="1F1CD733" w14:textId="1A2DCA06" w:rsidR="003F690B" w:rsidRPr="00D42FC2" w:rsidRDefault="003F690B" w:rsidP="005449AA">
            <w:pPr>
              <w:jc w:val="left"/>
              <w:rPr>
                <w:i/>
                <w:iCs/>
              </w:rPr>
            </w:pPr>
            <w:r>
              <w:rPr>
                <w:i/>
                <w:iCs/>
              </w:rPr>
              <w:t>S6 V2 Calibration Review</w:t>
            </w:r>
          </w:p>
        </w:tc>
        <w:tc>
          <w:tcPr>
            <w:tcW w:w="907" w:type="pct"/>
            <w:vAlign w:val="center"/>
          </w:tcPr>
          <w:p w14:paraId="30787421" w14:textId="5ECEA056" w:rsidR="003F690B" w:rsidRDefault="00E57C6B" w:rsidP="005449AA">
            <w:pPr>
              <w:jc w:val="left"/>
            </w:pPr>
            <w:hyperlink r:id="rId30" w:history="1">
              <w:r w:rsidR="003F690B" w:rsidRPr="003F690B">
                <w:rPr>
                  <w:rStyle w:val="Hyperlink"/>
                </w:rPr>
                <w:t>T1100597</w:t>
              </w:r>
            </w:hyperlink>
          </w:p>
        </w:tc>
      </w:tr>
      <w:tr w:rsidR="00A113E3" w14:paraId="01F876D8" w14:textId="77777777" w:rsidTr="00C21426">
        <w:tc>
          <w:tcPr>
            <w:tcW w:w="4093" w:type="pct"/>
          </w:tcPr>
          <w:p w14:paraId="12863B9D" w14:textId="594FD933" w:rsidR="00A113E3" w:rsidRDefault="00A113E3" w:rsidP="005449AA">
            <w:pPr>
              <w:jc w:val="left"/>
              <w:rPr>
                <w:i/>
                <w:iCs/>
              </w:rPr>
            </w:pPr>
            <w:r w:rsidRPr="00A113E3">
              <w:rPr>
                <w:i/>
                <w:iCs/>
              </w:rPr>
              <w:t>Controlling calibration errors in gravitational-wave detectors by precise location of calibration forces</w:t>
            </w:r>
            <w:r>
              <w:rPr>
                <w:i/>
                <w:iCs/>
              </w:rPr>
              <w:t xml:space="preserve"> (paper)</w:t>
            </w:r>
          </w:p>
        </w:tc>
        <w:tc>
          <w:tcPr>
            <w:tcW w:w="907" w:type="pct"/>
            <w:vAlign w:val="center"/>
          </w:tcPr>
          <w:p w14:paraId="42A9AA56" w14:textId="6C1DC48F" w:rsidR="00A113E3" w:rsidRDefault="00E57C6B" w:rsidP="005449AA">
            <w:pPr>
              <w:jc w:val="left"/>
            </w:pPr>
            <w:hyperlink r:id="rId31" w:history="1">
              <w:r w:rsidR="00A113E3" w:rsidRPr="00A113E3">
                <w:rPr>
                  <w:rStyle w:val="Hyperlink"/>
                </w:rPr>
                <w:t>P1100166</w:t>
              </w:r>
            </w:hyperlink>
          </w:p>
        </w:tc>
      </w:tr>
      <w:tr w:rsidR="00A113E3" w14:paraId="4678A8C6" w14:textId="77777777" w:rsidTr="00C21426">
        <w:tc>
          <w:tcPr>
            <w:tcW w:w="4093" w:type="pct"/>
          </w:tcPr>
          <w:p w14:paraId="3C2403C4" w14:textId="3C4C4B5B" w:rsidR="00A113E3" w:rsidRPr="00A113E3" w:rsidRDefault="00A113E3" w:rsidP="005449AA">
            <w:pPr>
              <w:jc w:val="left"/>
              <w:rPr>
                <w:i/>
                <w:iCs/>
              </w:rPr>
            </w:pPr>
            <w:r w:rsidRPr="00A113E3">
              <w:rPr>
                <w:i/>
                <w:iCs/>
              </w:rPr>
              <w:lastRenderedPageBreak/>
              <w:t>Controlling calibration errors in gravitational-wave detectors by precise location of calibration forces</w:t>
            </w:r>
            <w:r>
              <w:rPr>
                <w:i/>
                <w:iCs/>
              </w:rPr>
              <w:t xml:space="preserve"> (poster)</w:t>
            </w:r>
          </w:p>
        </w:tc>
        <w:tc>
          <w:tcPr>
            <w:tcW w:w="907" w:type="pct"/>
            <w:vAlign w:val="center"/>
          </w:tcPr>
          <w:p w14:paraId="4CB13CDC" w14:textId="68904CD6" w:rsidR="00A113E3" w:rsidRDefault="00E57C6B" w:rsidP="005449AA">
            <w:pPr>
              <w:jc w:val="left"/>
            </w:pPr>
            <w:hyperlink r:id="rId32" w:history="1">
              <w:r w:rsidR="00A113E3" w:rsidRPr="00A113E3">
                <w:rPr>
                  <w:rStyle w:val="Hyperlink"/>
                </w:rPr>
                <w:t>G1100988</w:t>
              </w:r>
            </w:hyperlink>
          </w:p>
        </w:tc>
      </w:tr>
      <w:tr w:rsidR="00FA43CF" w14:paraId="3B0997DA" w14:textId="77777777" w:rsidTr="00C21426">
        <w:tc>
          <w:tcPr>
            <w:tcW w:w="4093" w:type="pct"/>
          </w:tcPr>
          <w:p w14:paraId="6869402A" w14:textId="3BC552BA" w:rsidR="00FA43CF" w:rsidRPr="00A113E3" w:rsidRDefault="00FA43CF" w:rsidP="005449AA">
            <w:pPr>
              <w:jc w:val="left"/>
              <w:rPr>
                <w:i/>
                <w:iCs/>
              </w:rPr>
            </w:pPr>
            <w:r>
              <w:rPr>
                <w:i/>
                <w:iCs/>
              </w:rPr>
              <w:t>Photon Calibrator Budget</w:t>
            </w:r>
            <w:r w:rsidR="000041ED">
              <w:rPr>
                <w:i/>
                <w:iCs/>
              </w:rPr>
              <w:t xml:space="preserve"> Estimate</w:t>
            </w:r>
          </w:p>
        </w:tc>
        <w:tc>
          <w:tcPr>
            <w:tcW w:w="907" w:type="pct"/>
            <w:vAlign w:val="center"/>
          </w:tcPr>
          <w:p w14:paraId="28CF7D60" w14:textId="14FCA7FD" w:rsidR="00FA43CF" w:rsidRDefault="00E57C6B" w:rsidP="005449AA">
            <w:pPr>
              <w:jc w:val="left"/>
            </w:pPr>
            <w:hyperlink r:id="rId33" w:history="1">
              <w:r w:rsidR="000041ED" w:rsidRPr="000041ED">
                <w:rPr>
                  <w:rStyle w:val="Hyperlink"/>
                </w:rPr>
                <w:t>T1100643</w:t>
              </w:r>
            </w:hyperlink>
          </w:p>
        </w:tc>
      </w:tr>
    </w:tbl>
    <w:p w14:paraId="2A6B3AFA" w14:textId="77777777" w:rsidR="00B43E1C" w:rsidRDefault="00B43E1C" w:rsidP="005449AA">
      <w:pPr>
        <w:pStyle w:val="Heading1"/>
        <w:jc w:val="left"/>
      </w:pPr>
      <w:bookmarkStart w:id="2" w:name="_Toc170193750"/>
      <w:bookmarkStart w:id="3" w:name="_Ref311719096"/>
      <w:bookmarkStart w:id="4" w:name="_Toc321729340"/>
      <w:r>
        <w:t>Introduction</w:t>
      </w:r>
      <w:bookmarkEnd w:id="2"/>
      <w:bookmarkEnd w:id="3"/>
      <w:bookmarkEnd w:id="4"/>
    </w:p>
    <w:p w14:paraId="465B205A" w14:textId="586C0C3F" w:rsidR="003F690B" w:rsidRPr="003F690B" w:rsidRDefault="003F690B" w:rsidP="005449AA">
      <w:pPr>
        <w:pStyle w:val="Heading2"/>
        <w:jc w:val="left"/>
      </w:pPr>
      <w:bookmarkStart w:id="5" w:name="_Toc321729341"/>
      <w:r>
        <w:t>Preface</w:t>
      </w:r>
      <w:bookmarkEnd w:id="5"/>
    </w:p>
    <w:p w14:paraId="6EC24F7A" w14:textId="52DCF035" w:rsidR="00B43E1C" w:rsidRDefault="00B43E1C" w:rsidP="005449AA">
      <w:pPr>
        <w:jc w:val="left"/>
      </w:pPr>
      <w:r w:rsidRPr="00B20917">
        <w:t>T</w:t>
      </w:r>
      <w:r>
        <w:t>his document describes the</w:t>
      </w:r>
      <w:r w:rsidRPr="00B20917">
        <w:t xml:space="preserve"> </w:t>
      </w:r>
      <w:r w:rsidR="00520165">
        <w:t>Preliminary and Final</w:t>
      </w:r>
      <w:r w:rsidRPr="00B20917">
        <w:t xml:space="preserve"> Design </w:t>
      </w:r>
      <w:r w:rsidR="00520165">
        <w:t>of</w:t>
      </w:r>
      <w:r w:rsidRPr="00B20917">
        <w:t xml:space="preserve"> the </w:t>
      </w:r>
      <w:r>
        <w:t>Advanced LIGO (aLIGO)</w:t>
      </w:r>
      <w:r w:rsidRPr="00B20917">
        <w:t xml:space="preserve"> Photon Calibrator</w:t>
      </w:r>
      <w:r>
        <w:t xml:space="preserve"> subsystem (</w:t>
      </w:r>
      <w:r w:rsidR="00BD12AF">
        <w:t>“</w:t>
      </w:r>
      <w:r>
        <w:t>Pcal</w:t>
      </w:r>
      <w:r w:rsidR="00BD12AF">
        <w:t>”</w:t>
      </w:r>
      <w:r>
        <w:t>)</w:t>
      </w:r>
      <w:r w:rsidRPr="00B20917">
        <w:t xml:space="preserve">. It details engineering and design specifications, </w:t>
      </w:r>
      <w:r>
        <w:t xml:space="preserve">overall </w:t>
      </w:r>
      <w:r w:rsidRPr="00B20917">
        <w:t>beam, hardware, and electrical layout</w:t>
      </w:r>
      <w:r>
        <w:t>s</w:t>
      </w:r>
      <w:r w:rsidRPr="00B20917">
        <w:t>, as well as expected mode</w:t>
      </w:r>
      <w:r>
        <w:t>s</w:t>
      </w:r>
      <w:r w:rsidRPr="00B20917">
        <w:t xml:space="preserve"> of operation. </w:t>
      </w:r>
      <w:r>
        <w:t>The design is based on the Initial LIGO (iLIGO) a</w:t>
      </w:r>
      <w:r w:rsidR="0005469D">
        <w:t>nd Enhanced LIGO (eLIGO) Pcals.</w:t>
      </w:r>
      <w:r>
        <w:t xml:space="preserve"> It responds to input received from the LSC Calibration Committee, mostly in the form of operational requirements.</w:t>
      </w:r>
    </w:p>
    <w:p w14:paraId="2F6FE02D" w14:textId="3CF3E00C" w:rsidR="00B43E1C" w:rsidRDefault="00520165" w:rsidP="005449AA">
      <w:pPr>
        <w:jc w:val="left"/>
      </w:pPr>
      <w:r>
        <w:t>Pcal</w:t>
      </w:r>
      <w:r w:rsidR="00FE7C4D">
        <w:t>s were</w:t>
      </w:r>
      <w:r w:rsidR="00B43E1C">
        <w:t xml:space="preserve"> introduced during iLIGO</w:t>
      </w:r>
      <w:r w:rsidR="00FE7C4D">
        <w:t xml:space="preserve"> </w:t>
      </w:r>
      <w:r w:rsidR="00B43E1C">
        <w:t xml:space="preserve">principally </w:t>
      </w:r>
      <w:r w:rsidR="00FE7C4D">
        <w:t xml:space="preserve">to </w:t>
      </w:r>
      <w:r w:rsidR="00B43E1C">
        <w:t>provide an independent check of the absolute di</w:t>
      </w:r>
      <w:r w:rsidR="0005469D">
        <w:t>fferential length calibration</w:t>
      </w:r>
      <w:r w:rsidR="00FE7C4D">
        <w:t xml:space="preserve"> (see </w:t>
      </w:r>
      <w:r w:rsidR="00FE7C4D">
        <w:fldChar w:fldCharType="begin"/>
      </w:r>
      <w:r w:rsidR="00FE7C4D">
        <w:instrText xml:space="preserve"> REF _Ref186982686 \h </w:instrText>
      </w:r>
      <w:r w:rsidR="00FE7C4D">
        <w:fldChar w:fldCharType="separate"/>
      </w:r>
      <w:r w:rsidR="00E57C6B">
        <w:t xml:space="preserve">Figure </w:t>
      </w:r>
      <w:r w:rsidR="00E57C6B">
        <w:rPr>
          <w:noProof/>
        </w:rPr>
        <w:t>1</w:t>
      </w:r>
      <w:r w:rsidR="00FE7C4D">
        <w:fldChar w:fldCharType="end"/>
      </w:r>
      <w:r w:rsidR="00FE7C4D">
        <w:t>)</w:t>
      </w:r>
      <w:r w:rsidR="0005469D">
        <w:t xml:space="preserve">. </w:t>
      </w:r>
      <w:r w:rsidR="00B43E1C">
        <w:t>During eLIGO, re-designed Pcal systems were installed in the X-end stations for both the Hanfor</w:t>
      </w:r>
      <w:r w:rsidR="00527E4D">
        <w:t>d (H1) and Livingston (L1) 4k</w:t>
      </w:r>
      <w:r w:rsidR="0005469D">
        <w:t xml:space="preserve"> interferometers</w:t>
      </w:r>
      <w:r w:rsidR="00FE7C4D">
        <w:t xml:space="preserve"> (see </w:t>
      </w:r>
      <w:r w:rsidR="00FE7C4D">
        <w:fldChar w:fldCharType="begin"/>
      </w:r>
      <w:r w:rsidR="00FE7C4D">
        <w:instrText xml:space="preserve"> REF _Ref186982742 \h </w:instrText>
      </w:r>
      <w:r w:rsidR="00FE7C4D">
        <w:fldChar w:fldCharType="separate"/>
      </w:r>
      <w:r w:rsidR="00E57C6B">
        <w:t xml:space="preserve">Figure </w:t>
      </w:r>
      <w:r w:rsidR="00E57C6B">
        <w:rPr>
          <w:noProof/>
        </w:rPr>
        <w:t>2</w:t>
      </w:r>
      <w:r w:rsidR="00FE7C4D">
        <w:fldChar w:fldCharType="end"/>
      </w:r>
      <w:r w:rsidR="00FE7C4D">
        <w:t>)</w:t>
      </w:r>
      <w:r w:rsidR="0005469D">
        <w:t>.</w:t>
      </w:r>
      <w:r w:rsidR="00B43E1C">
        <w:t xml:space="preserve"> The eLIGO Pcals operated in a two-beam configuration to minimize errors due to sensing the local elastic deformation ind</w:t>
      </w:r>
      <w:r w:rsidR="0005469D">
        <w:t>uced by the radiation pressure.</w:t>
      </w:r>
      <w:r w:rsidR="00B43E1C">
        <w:t xml:space="preserve"> The two beams were positioned on the surface of the End Test Mass (ETM) such that errors due to bulk elastic deforma</w:t>
      </w:r>
      <w:r w:rsidR="0005469D">
        <w:t>tion of the ETM were minimized.</w:t>
      </w:r>
      <w:r w:rsidR="00B43E1C">
        <w:t xml:space="preserve"> The eLIGO Pcals incorporated internal</w:t>
      </w:r>
      <w:r>
        <w:t xml:space="preserve"> power sensors with temperature-</w:t>
      </w:r>
      <w:r w:rsidR="00B43E1C">
        <w:t>stabilized InGaAs photo-receivers mounted on integrating spheres.</w:t>
      </w:r>
    </w:p>
    <w:p w14:paraId="71F7E4B4" w14:textId="7EF52BBD" w:rsidR="00B43E1C" w:rsidRDefault="00B43E1C" w:rsidP="005449AA">
      <w:pPr>
        <w:jc w:val="left"/>
      </w:pPr>
      <w:r>
        <w:t xml:space="preserve">The eLIGO Pcals operated continuously during the S6 science </w:t>
      </w:r>
      <w:proofErr w:type="gramStart"/>
      <w:r>
        <w:t>run,</w:t>
      </w:r>
      <w:proofErr w:type="gramEnd"/>
      <w:r>
        <w:t xml:space="preserve"> injecting a single calibration line in each interferomete</w:t>
      </w:r>
      <w:r w:rsidR="0005469D">
        <w:t>r with a frequency near 400 Hz.</w:t>
      </w:r>
      <w:r>
        <w:t xml:space="preserve"> </w:t>
      </w:r>
      <w:r w:rsidR="00A85776">
        <w:t xml:space="preserve">Assessment of the long-term trends in the actuator coefficients was the primary goal of the eLIGO Pcals.  </w:t>
      </w:r>
      <w:r>
        <w:t>Analysis of the Pcal data over all of S6 revealed that the long-term (16 months) stability of the actuation coefficients of the ETM voice-coil actuators was better than 1%</w:t>
      </w:r>
      <w:r w:rsidR="00A85776">
        <w:t xml:space="preserve"> </w:t>
      </w:r>
      <w:r w:rsidR="00FE7C4D">
        <w:t xml:space="preserve">(p-p) </w:t>
      </w:r>
      <w:r w:rsidR="00A85776">
        <w:t>for both H1 and L1</w:t>
      </w:r>
      <w:r w:rsidR="00587847">
        <w:t xml:space="preserve">. Furthermore, </w:t>
      </w:r>
      <w:r w:rsidR="00FE7C4D">
        <w:t xml:space="preserve">the </w:t>
      </w:r>
      <w:r w:rsidR="00587847">
        <w:t>Pcal</w:t>
      </w:r>
      <w:r w:rsidR="00FE7C4D">
        <w:t>s were able to provide</w:t>
      </w:r>
      <w:r w:rsidR="00587847">
        <w:t xml:space="preserve"> absolute ca</w:t>
      </w:r>
      <w:r w:rsidR="00FE7C4D">
        <w:t>libration of the interferometer</w:t>
      </w:r>
      <w:r w:rsidR="00587847">
        <w:t>s</w:t>
      </w:r>
      <w:r w:rsidR="00FE7C4D">
        <w:t>’</w:t>
      </w:r>
      <w:r w:rsidR="00587847">
        <w:t xml:space="preserve"> response</w:t>
      </w:r>
      <w:r w:rsidR="00FE7C4D">
        <w:t>s</w:t>
      </w:r>
      <w:r>
        <w:t xml:space="preserve">. During S6, the Pcals were also used to make swept sine measurements of the interferometer closed-loop response functions over the frequency band from </w:t>
      </w:r>
      <w:r w:rsidR="00BD12AF">
        <w:t>70 Hz to 1 kHz</w:t>
      </w:r>
      <w:r>
        <w:t>.</w:t>
      </w:r>
    </w:p>
    <w:p w14:paraId="4E0DBCBC" w14:textId="406A9B38" w:rsidR="00B43E1C" w:rsidRDefault="00B43E1C" w:rsidP="005449AA">
      <w:pPr>
        <w:jc w:val="left"/>
      </w:pPr>
      <w:r>
        <w:t xml:space="preserve">During aLIGO, </w:t>
      </w:r>
      <w:r w:rsidR="00FE7C4D">
        <w:t xml:space="preserve">the </w:t>
      </w:r>
      <w:r>
        <w:t>Pcal</w:t>
      </w:r>
      <w:r w:rsidR="00FE7C4D">
        <w:t>s</w:t>
      </w:r>
      <w:r>
        <w:t xml:space="preserve"> </w:t>
      </w:r>
      <w:r w:rsidR="00FE7C4D">
        <w:t>are</w:t>
      </w:r>
      <w:r>
        <w:t xml:space="preserve"> expected to play a more prominent</w:t>
      </w:r>
      <w:r w:rsidR="00FE7C4D">
        <w:t xml:space="preserve"> role, if not the lead</w:t>
      </w:r>
      <w:r>
        <w:t xml:space="preserve"> role</w:t>
      </w:r>
      <w:r w:rsidR="00FE7C4D">
        <w:t>,</w:t>
      </w:r>
      <w:r>
        <w:t xml:space="preserve"> in the calibrati</w:t>
      </w:r>
      <w:r w:rsidR="0005469D">
        <w:t>on of the LIGO interferometers.</w:t>
      </w:r>
      <w:r>
        <w:t xml:space="preserve"> </w:t>
      </w:r>
      <w:r w:rsidR="00A95058">
        <w:t>One Pcal system will be installed for each ETM</w:t>
      </w:r>
      <w:r w:rsidR="00FE7C4D">
        <w:t>,</w:t>
      </w:r>
      <w:r w:rsidR="00A95058">
        <w:t xml:space="preserve"> six Pcal systems in all.  </w:t>
      </w:r>
      <w:r w:rsidR="00FE7C4D">
        <w:t>U</w:t>
      </w:r>
      <w:r>
        <w:t>pgrades</w:t>
      </w:r>
      <w:r w:rsidR="00FE7C4D">
        <w:t xml:space="preserve"> for aLIGO, as detailed</w:t>
      </w:r>
      <w:r>
        <w:t xml:space="preserve"> in this document, include more powerful lasers, more rigid support structures, and directing the beams reflected from the ETMs out of the vacuum system to continuously monitor the reflected power.</w:t>
      </w:r>
    </w:p>
    <w:p w14:paraId="000E4F25" w14:textId="77777777" w:rsidR="00B43E1C" w:rsidRDefault="00B43E1C" w:rsidP="005449AA">
      <w:pPr>
        <w:jc w:val="left"/>
      </w:pPr>
      <w:r>
        <w:t>The scope of the aLIGO Pcals includes:</w:t>
      </w:r>
    </w:p>
    <w:p w14:paraId="3FFEDF8F" w14:textId="77777777" w:rsidR="00B43E1C" w:rsidRDefault="00B43E1C" w:rsidP="005449AA">
      <w:pPr>
        <w:pStyle w:val="ListParagraph"/>
        <w:numPr>
          <w:ilvl w:val="0"/>
          <w:numId w:val="15"/>
        </w:numPr>
        <w:jc w:val="left"/>
      </w:pPr>
      <w:r>
        <w:t>Transmitter and receiver modules</w:t>
      </w:r>
    </w:p>
    <w:p w14:paraId="2FD355BB" w14:textId="34DA8D8F" w:rsidR="00B43E1C" w:rsidRDefault="00B43E1C" w:rsidP="005449AA">
      <w:pPr>
        <w:pStyle w:val="ListParagraph"/>
        <w:numPr>
          <w:ilvl w:val="0"/>
          <w:numId w:val="15"/>
        </w:numPr>
        <w:jc w:val="left"/>
      </w:pPr>
      <w:r>
        <w:t>Transmitter pylon (</w:t>
      </w:r>
      <w:r w:rsidR="004E0C93">
        <w:t xml:space="preserve">the </w:t>
      </w:r>
      <w:r>
        <w:t xml:space="preserve">receiver pylon </w:t>
      </w:r>
      <w:r w:rsidR="004E0C93">
        <w:t xml:space="preserve">is </w:t>
      </w:r>
      <w:r>
        <w:t>shared with, and in the scope of, the Optical Levers subsystem)</w:t>
      </w:r>
    </w:p>
    <w:p w14:paraId="598CB3CF" w14:textId="6ADC9AD8" w:rsidR="00B43E1C" w:rsidRDefault="00B43E1C" w:rsidP="005449AA">
      <w:pPr>
        <w:pStyle w:val="ListParagraph"/>
        <w:numPr>
          <w:ilvl w:val="0"/>
          <w:numId w:val="15"/>
        </w:numPr>
        <w:jc w:val="left"/>
      </w:pPr>
      <w:r>
        <w:t>In-vacuum periscopes mounted on compression rings</w:t>
      </w:r>
    </w:p>
    <w:p w14:paraId="05DAF3FB" w14:textId="2C2D3819" w:rsidR="00B43E1C" w:rsidRDefault="00B43E1C" w:rsidP="005449AA">
      <w:pPr>
        <w:pStyle w:val="ListParagraph"/>
        <w:numPr>
          <w:ilvl w:val="0"/>
          <w:numId w:val="15"/>
        </w:numPr>
        <w:jc w:val="left"/>
      </w:pPr>
      <w:r>
        <w:t xml:space="preserve">Gold Standard and Working Standard laser power sensor systems, </w:t>
      </w:r>
      <w:r w:rsidR="00A85776">
        <w:t>including</w:t>
      </w:r>
      <w:r>
        <w:t xml:space="preserve"> periodic absolute power calibrations at NIST</w:t>
      </w:r>
      <w:r w:rsidR="00A85776">
        <w:t>, and the facility and procedures used to transfer the Gold Standard calibration to the Working Standards</w:t>
      </w:r>
      <w:r>
        <w:t>.</w:t>
      </w:r>
    </w:p>
    <w:p w14:paraId="3BCE8740" w14:textId="415581F6" w:rsidR="00B43E1C" w:rsidRDefault="00B43E1C" w:rsidP="005449AA">
      <w:pPr>
        <w:pStyle w:val="ListParagraph"/>
        <w:numPr>
          <w:ilvl w:val="0"/>
          <w:numId w:val="15"/>
        </w:numPr>
        <w:jc w:val="left"/>
      </w:pPr>
      <w:r>
        <w:lastRenderedPageBreak/>
        <w:t xml:space="preserve">Electronics, including laser and photo-receiver power supplies, acousto-optic modulator driver, </w:t>
      </w:r>
      <w:r w:rsidR="005B3A96">
        <w:rPr>
          <w:i/>
        </w:rPr>
        <w:t>Optical Follower</w:t>
      </w:r>
      <w:r w:rsidR="00FE7C4D" w:rsidRPr="005B3A96">
        <w:rPr>
          <w:i/>
        </w:rPr>
        <w:t xml:space="preserve"> </w:t>
      </w:r>
      <w:r w:rsidR="00FE7C4D">
        <w:t xml:space="preserve">servo for control of the modulated waveform, and </w:t>
      </w:r>
      <w:r>
        <w:t>analog signal conditioning filters.</w:t>
      </w:r>
    </w:p>
    <w:p w14:paraId="7D277C63" w14:textId="77777777" w:rsidR="00B43E1C" w:rsidRDefault="00B43E1C" w:rsidP="005449AA">
      <w:pPr>
        <w:autoSpaceDE w:val="0"/>
        <w:autoSpaceDN w:val="0"/>
        <w:adjustRightInd w:val="0"/>
        <w:spacing w:before="0"/>
        <w:jc w:val="left"/>
        <w:rPr>
          <w:sz w:val="20"/>
          <w:lang w:bidi="he-IL"/>
        </w:rPr>
      </w:pPr>
      <w:r w:rsidRPr="00791738">
        <w:rPr>
          <w:sz w:val="20"/>
          <w:lang w:bidi="he-IL"/>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29"/>
        <w:gridCol w:w="4777"/>
      </w:tblGrid>
      <w:tr w:rsidR="00B43E1C" w14:paraId="7F24E736" w14:textId="77777777" w:rsidTr="009C4795">
        <w:tc>
          <w:tcPr>
            <w:tcW w:w="5029" w:type="dxa"/>
          </w:tcPr>
          <w:p w14:paraId="6EDBCF82" w14:textId="77777777" w:rsidR="00B43E1C" w:rsidRDefault="00B43E1C" w:rsidP="000745A1">
            <w:pPr>
              <w:keepNext/>
              <w:autoSpaceDE w:val="0"/>
              <w:autoSpaceDN w:val="0"/>
              <w:adjustRightInd w:val="0"/>
              <w:spacing w:before="0"/>
              <w:jc w:val="left"/>
            </w:pPr>
            <w:r w:rsidRPr="00695034">
              <w:rPr>
                <w:noProof/>
                <w:szCs w:val="24"/>
                <w:lang w:bidi="he-IL"/>
              </w:rPr>
              <w:drawing>
                <wp:inline distT="0" distB="0" distL="0" distR="0" wp14:anchorId="29D92D9A" wp14:editId="0BB737F4">
                  <wp:extent cx="3056258" cy="2150669"/>
                  <wp:effectExtent l="0" t="0" r="0" b="254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t="10051" b="11083"/>
                          <a:stretch/>
                        </pic:blipFill>
                        <pic:spPr bwMode="auto">
                          <a:xfrm>
                            <a:off x="0" y="0"/>
                            <a:ext cx="3057375" cy="2151455"/>
                          </a:xfrm>
                          <a:prstGeom prst="rect">
                            <a:avLst/>
                          </a:prstGeom>
                          <a:noFill/>
                          <a:ln>
                            <a:noFill/>
                          </a:ln>
                          <a:extLst>
                            <a:ext uri="{53640926-AAD7-44D8-BBD7-CCE9431645EC}">
                              <a14:shadowObscured xmlns:a14="http://schemas.microsoft.com/office/drawing/2010/main"/>
                            </a:ext>
                          </a:extLst>
                        </pic:spPr>
                      </pic:pic>
                    </a:graphicData>
                  </a:graphic>
                </wp:inline>
              </w:drawing>
            </w:r>
          </w:p>
          <w:p w14:paraId="01B49DA6" w14:textId="597F4CF1" w:rsidR="00B43E1C" w:rsidRDefault="00B43E1C" w:rsidP="000745A1">
            <w:pPr>
              <w:pStyle w:val="Caption"/>
              <w:jc w:val="left"/>
              <w:rPr>
                <w:sz w:val="20"/>
                <w:lang w:bidi="he-IL"/>
              </w:rPr>
            </w:pPr>
            <w:bookmarkStart w:id="6" w:name="_Ref186982686"/>
            <w:bookmarkStart w:id="7" w:name="_Toc168713271"/>
            <w:bookmarkStart w:id="8" w:name="_Toc311535622"/>
            <w:r>
              <w:t xml:space="preserve">Figure </w:t>
            </w:r>
            <w:fldSimple w:instr=" SEQ Figure \* ARABIC ">
              <w:r w:rsidR="00E57C6B">
                <w:rPr>
                  <w:noProof/>
                </w:rPr>
                <w:t>1</w:t>
              </w:r>
            </w:fldSimple>
            <w:bookmarkEnd w:id="6"/>
            <w:r>
              <w:t xml:space="preserve"> – iLIGO Photon Calibrator Transmitter Module</w:t>
            </w:r>
            <w:bookmarkEnd w:id="7"/>
            <w:bookmarkEnd w:id="8"/>
          </w:p>
        </w:tc>
        <w:tc>
          <w:tcPr>
            <w:tcW w:w="4777" w:type="dxa"/>
          </w:tcPr>
          <w:p w14:paraId="0910A0AE" w14:textId="77777777" w:rsidR="00B43E1C" w:rsidRDefault="00B43E1C" w:rsidP="000745A1">
            <w:pPr>
              <w:keepNext/>
              <w:autoSpaceDE w:val="0"/>
              <w:autoSpaceDN w:val="0"/>
              <w:adjustRightInd w:val="0"/>
              <w:spacing w:before="0"/>
              <w:jc w:val="left"/>
            </w:pPr>
            <w:r w:rsidRPr="00DF52D7">
              <w:rPr>
                <w:noProof/>
                <w:sz w:val="20"/>
                <w:lang w:bidi="he-IL"/>
              </w:rPr>
              <w:drawing>
                <wp:inline distT="0" distB="0" distL="0" distR="0" wp14:anchorId="0EEA384D" wp14:editId="4A7E9F57">
                  <wp:extent cx="2882189" cy="2154500"/>
                  <wp:effectExtent l="0" t="0" r="0"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2297" cy="2154581"/>
                          </a:xfrm>
                          <a:prstGeom prst="rect">
                            <a:avLst/>
                          </a:prstGeom>
                          <a:noFill/>
                          <a:ln>
                            <a:noFill/>
                          </a:ln>
                        </pic:spPr>
                      </pic:pic>
                    </a:graphicData>
                  </a:graphic>
                </wp:inline>
              </w:drawing>
            </w:r>
          </w:p>
          <w:p w14:paraId="5DF0EF9B" w14:textId="36A9AE30" w:rsidR="00B43E1C" w:rsidRDefault="00B43E1C" w:rsidP="000745A1">
            <w:pPr>
              <w:pStyle w:val="Caption"/>
              <w:jc w:val="left"/>
              <w:rPr>
                <w:sz w:val="20"/>
                <w:lang w:bidi="he-IL"/>
              </w:rPr>
            </w:pPr>
            <w:bookmarkStart w:id="9" w:name="_Ref186982742"/>
            <w:bookmarkStart w:id="10" w:name="_Toc168713272"/>
            <w:bookmarkStart w:id="11" w:name="_Toc311535623"/>
            <w:r>
              <w:t xml:space="preserve">Figure </w:t>
            </w:r>
            <w:fldSimple w:instr=" SEQ Figure \* ARABIC ">
              <w:r w:rsidR="00E57C6B">
                <w:rPr>
                  <w:noProof/>
                </w:rPr>
                <w:t>2</w:t>
              </w:r>
            </w:fldSimple>
            <w:bookmarkEnd w:id="9"/>
            <w:r>
              <w:t xml:space="preserve"> – eLIGO Photon Calibrator Transmitter Module</w:t>
            </w:r>
            <w:bookmarkEnd w:id="10"/>
            <w:bookmarkEnd w:id="11"/>
          </w:p>
        </w:tc>
      </w:tr>
    </w:tbl>
    <w:p w14:paraId="37AA1C4F" w14:textId="77777777" w:rsidR="00F06C4B" w:rsidRDefault="00F06C4B" w:rsidP="005449AA">
      <w:pPr>
        <w:pStyle w:val="Heading2"/>
        <w:jc w:val="left"/>
      </w:pPr>
      <w:bookmarkStart w:id="12" w:name="_Toc170193751"/>
      <w:bookmarkStart w:id="13" w:name="_Toc321729342"/>
      <w:r>
        <w:t>Principle of Operation</w:t>
      </w:r>
      <w:bookmarkEnd w:id="13"/>
    </w:p>
    <w:p w14:paraId="3E73E2E5" w14:textId="1829D301" w:rsidR="00C65B9B" w:rsidRDefault="00FE7C4D" w:rsidP="005449AA">
      <w:pPr>
        <w:jc w:val="left"/>
      </w:pPr>
      <w:r>
        <w:t xml:space="preserve">The </w:t>
      </w:r>
      <w:r w:rsidR="00F06C4B">
        <w:t>Pcal</w:t>
      </w:r>
      <w:r>
        <w:t>s use</w:t>
      </w:r>
      <w:r w:rsidR="00F06C4B">
        <w:t xml:space="preserve"> power-modulated auxiliary lasers to induce periodic modulations in the position of a suspended ETM via photon radiation pressure, as shown schematically in </w:t>
      </w:r>
      <w:r w:rsidR="00F06C4B">
        <w:fldChar w:fldCharType="begin"/>
      </w:r>
      <w:r w:rsidR="00F06C4B">
        <w:instrText xml:space="preserve"> REF _Ref170192896 \h </w:instrText>
      </w:r>
      <w:r w:rsidR="00F06C4B">
        <w:fldChar w:fldCharType="separate"/>
      </w:r>
      <w:r w:rsidR="00E57C6B">
        <w:t xml:space="preserve">Figure </w:t>
      </w:r>
      <w:r w:rsidR="00E57C6B">
        <w:rPr>
          <w:noProof/>
        </w:rPr>
        <w:t>3</w:t>
      </w:r>
      <w:r w:rsidR="00F06C4B">
        <w:fldChar w:fldCharType="end"/>
      </w:r>
      <w:r w:rsidR="00F06C4B">
        <w:t>.</w:t>
      </w:r>
    </w:p>
    <w:p w14:paraId="4A61A3BB" w14:textId="5B9D8911" w:rsidR="00F06C4B" w:rsidRDefault="006A7BD7" w:rsidP="005449AA">
      <w:pPr>
        <w:keepNext/>
        <w:jc w:val="left"/>
      </w:pPr>
      <w:r>
        <w:rPr>
          <w:noProof/>
          <w:lang w:bidi="he-IL"/>
        </w:rPr>
        <mc:AlternateContent>
          <mc:Choice Requires="wps">
            <w:drawing>
              <wp:anchor distT="0" distB="0" distL="114300" distR="114300" simplePos="0" relativeHeight="251659264" behindDoc="0" locked="0" layoutInCell="1" allowOverlap="1" wp14:anchorId="45A041F2" wp14:editId="79AA4807">
                <wp:simplePos x="0" y="0"/>
                <wp:positionH relativeFrom="column">
                  <wp:posOffset>4775324</wp:posOffset>
                </wp:positionH>
                <wp:positionV relativeFrom="paragraph">
                  <wp:posOffset>786897</wp:posOffset>
                </wp:positionV>
                <wp:extent cx="308758" cy="0"/>
                <wp:effectExtent l="38100" t="76200" r="15240" b="114300"/>
                <wp:wrapNone/>
                <wp:docPr id="31" name="Straight Arrow Connector 31"/>
                <wp:cNvGraphicFramePr/>
                <a:graphic xmlns:a="http://schemas.openxmlformats.org/drawingml/2006/main">
                  <a:graphicData uri="http://schemas.microsoft.com/office/word/2010/wordprocessingShape">
                    <wps:wsp>
                      <wps:cNvCnPr/>
                      <wps:spPr>
                        <a:xfrm>
                          <a:off x="0" y="0"/>
                          <a:ext cx="308758" cy="0"/>
                        </a:xfrm>
                        <a:prstGeom prst="straightConnector1">
                          <a:avLst/>
                        </a:prstGeom>
                        <a:ln w="6350" cmpd="sng">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31" o:spid="_x0000_s1026" type="#_x0000_t32" style="position:absolute;margin-left:376pt;margin-top:61.95pt;width:24.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" strokecolor="#4579b8 [3044]" strokeweight=".5pt">
                <v:stroke dashstyle="dash" startarrow="open" endarrow="open"/>
              </v:shape>
            </w:pict>
          </mc:Fallback>
        </mc:AlternateContent>
      </w:r>
      <w:r w:rsidR="002B160D">
        <w:rPr>
          <w:noProof/>
          <w:lang w:bidi="he-IL"/>
        </w:rPr>
        <w:drawing>
          <wp:inline distT="0" distB="0" distL="0" distR="0" wp14:anchorId="3C72CEA6" wp14:editId="23BC1D14">
            <wp:extent cx="5943600" cy="2351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351405"/>
                    </a:xfrm>
                    <a:prstGeom prst="rect">
                      <a:avLst/>
                    </a:prstGeom>
                  </pic:spPr>
                </pic:pic>
              </a:graphicData>
            </a:graphic>
          </wp:inline>
        </w:drawing>
      </w:r>
    </w:p>
    <w:p w14:paraId="07E6ADE7" w14:textId="268DB031" w:rsidR="00F06C4B" w:rsidRDefault="00F06C4B" w:rsidP="005449AA">
      <w:pPr>
        <w:pStyle w:val="Caption"/>
        <w:jc w:val="left"/>
      </w:pPr>
      <w:bookmarkStart w:id="14" w:name="_Ref170192896"/>
      <w:bookmarkStart w:id="15" w:name="_Toc311535624"/>
      <w:r>
        <w:t xml:space="preserve">Figure </w:t>
      </w:r>
      <w:fldSimple w:instr=" SEQ Figure \* ARABIC ">
        <w:r w:rsidR="00E57C6B">
          <w:rPr>
            <w:noProof/>
          </w:rPr>
          <w:t>3</w:t>
        </w:r>
      </w:fldSimple>
      <w:bookmarkEnd w:id="14"/>
      <w:r>
        <w:rPr>
          <w:noProof/>
        </w:rPr>
        <w:t xml:space="preserve"> </w:t>
      </w:r>
      <w:r w:rsidR="002B160D">
        <w:rPr>
          <w:noProof/>
        </w:rPr>
        <w:t>–</w:t>
      </w:r>
      <w:r w:rsidR="002B160D">
        <w:t xml:space="preserve"> </w:t>
      </w:r>
      <w:bookmarkEnd w:id="15"/>
      <w:r w:rsidR="002B160D">
        <w:t>Basic Schematic of aLIGO Pcal System</w:t>
      </w:r>
    </w:p>
    <w:p w14:paraId="7F52958E" w14:textId="77777777" w:rsidR="00E74154" w:rsidRPr="003F386E" w:rsidRDefault="00E74154" w:rsidP="005449AA">
      <w:pPr>
        <w:jc w:val="left"/>
      </w:pPr>
      <w:r>
        <w:t xml:space="preserve">For modulation frequencies much higher than the ETM pendulum resonance frequency, the ETM responds as a free mass and its induced displacement is given by </w:t>
      </w:r>
      <w:r>
        <w:fldChar w:fldCharType="begin"/>
      </w:r>
      <w:r>
        <w:instrText xml:space="preserve"> REF _Ref309216842 \h </w:instrText>
      </w:r>
      <w:r>
        <w:fldChar w:fldCharType="separate"/>
      </w:r>
      <w:r w:rsidR="00E57C6B">
        <w:t>(</w:t>
      </w:r>
      <w:r w:rsidR="00E57C6B">
        <w:rPr>
          <w:noProof/>
        </w:rPr>
        <w:t>1</w:t>
      </w:r>
      <w:r w:rsidR="00E57C6B">
        <w:t>)</w:t>
      </w:r>
      <w:r>
        <w:fldChar w:fldCharType="end"/>
      </w:r>
      <w: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E74154" w14:paraId="66D34422" w14:textId="77777777" w:rsidTr="00C71416">
        <w:trPr>
          <w:jc w:val="center"/>
        </w:trPr>
        <w:tc>
          <w:tcPr>
            <w:tcW w:w="750" w:type="pct"/>
            <w:vAlign w:val="center"/>
          </w:tcPr>
          <w:p w14:paraId="1E40735B" w14:textId="77777777" w:rsidR="00E74154" w:rsidRDefault="00E74154" w:rsidP="005449AA">
            <w:pPr>
              <w:jc w:val="left"/>
            </w:pPr>
          </w:p>
        </w:tc>
        <w:tc>
          <w:tcPr>
            <w:tcW w:w="3500" w:type="pct"/>
            <w:vAlign w:val="center"/>
          </w:tcPr>
          <w:p w14:paraId="29962CD2" w14:textId="76A6DD7E" w:rsidR="00E74154" w:rsidRPr="003B3E48" w:rsidRDefault="00E57C6B" w:rsidP="005449AA">
            <w:pPr>
              <w:jc w:val="left"/>
              <w:rPr>
                <w:iCs/>
                <w:sz w:val="28"/>
                <w:szCs w:val="28"/>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2</m:t>
                    </m:r>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0</m:t>
                        </m:r>
                      </m:sub>
                    </m:sSub>
                  </m:num>
                  <m:den>
                    <m:r>
                      <w:rPr>
                        <w:rFonts w:ascii="Cambria Math" w:hAnsi="Cambria Math"/>
                        <w:sz w:val="28"/>
                        <w:szCs w:val="28"/>
                      </w:rPr>
                      <m:t>c</m:t>
                    </m:r>
                  </m:den>
                </m:f>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M</m:t>
                    </m:r>
                    <m:sSup>
                      <m:sSupPr>
                        <m:ctrlPr>
                          <w:rPr>
                            <w:rFonts w:ascii="Cambria Math" w:hAnsi="Cambria Math"/>
                            <w:i/>
                            <w:iCs/>
                            <w:sz w:val="28"/>
                            <w:szCs w:val="28"/>
                          </w:rPr>
                        </m:ctrlPr>
                      </m:sSupPr>
                      <m:e>
                        <m:r>
                          <w:rPr>
                            <w:rFonts w:ascii="Cambria Math" w:hAnsi="Cambria Math"/>
                            <w:sz w:val="28"/>
                            <w:szCs w:val="28"/>
                          </w:rPr>
                          <m:t>ω</m:t>
                        </m:r>
                      </m:e>
                      <m:sup>
                        <m:r>
                          <w:rPr>
                            <w:rFonts w:ascii="Cambria Math" w:hAnsi="Cambria Math"/>
                            <w:sz w:val="28"/>
                            <w:szCs w:val="28"/>
                          </w:rPr>
                          <m:t>2</m:t>
                        </m:r>
                      </m:sup>
                    </m:sSup>
                  </m:den>
                </m:f>
                <m:d>
                  <m:dPr>
                    <m:ctrlPr>
                      <w:rPr>
                        <w:rFonts w:ascii="Cambria Math" w:hAnsi="Cambria Math"/>
                        <w:i/>
                        <w:iCs/>
                        <w:sz w:val="28"/>
                        <w:szCs w:val="28"/>
                      </w:rPr>
                    </m:ctrlPr>
                  </m:dPr>
                  <m:e>
                    <m:func>
                      <m:funcPr>
                        <m:ctrlPr>
                          <w:rPr>
                            <w:rFonts w:ascii="Cambria Math" w:hAnsi="Cambria Math"/>
                            <w:i/>
                            <w:iCs/>
                            <w:sz w:val="28"/>
                            <w:szCs w:val="28"/>
                          </w:rPr>
                        </m:ctrlPr>
                      </m:funcPr>
                      <m:fName>
                        <m:r>
                          <w:rPr>
                            <w:rFonts w:ascii="Cambria Math" w:hAnsi="Cambria Math"/>
                            <w:sz w:val="28"/>
                            <w:szCs w:val="28"/>
                          </w:rPr>
                          <m:t>cos</m:t>
                        </m:r>
                      </m:fName>
                      <m:e>
                        <m:r>
                          <w:rPr>
                            <w:rFonts w:ascii="Cambria Math" w:hAnsi="Cambria Math"/>
                            <w:sz w:val="28"/>
                            <w:szCs w:val="28"/>
                          </w:rPr>
                          <m:t>θ</m:t>
                        </m:r>
                      </m:e>
                    </m:func>
                  </m:e>
                </m:d>
              </m:oMath>
            </m:oMathPara>
          </w:p>
        </w:tc>
        <w:tc>
          <w:tcPr>
            <w:tcW w:w="750" w:type="pct"/>
            <w:vAlign w:val="center"/>
          </w:tcPr>
          <w:p w14:paraId="01424810" w14:textId="77777777" w:rsidR="00E74154" w:rsidRDefault="00E74154" w:rsidP="005449AA">
            <w:pPr>
              <w:jc w:val="left"/>
            </w:pPr>
            <w:bookmarkStart w:id="16" w:name="_Ref312403667"/>
            <w:bookmarkStart w:id="17" w:name="_Ref309216842"/>
            <w:r>
              <w:t>(</w:t>
            </w:r>
            <w:fldSimple w:instr=" SEQ Equation \* ARABIC ">
              <w:r w:rsidR="00E57C6B">
                <w:rPr>
                  <w:noProof/>
                </w:rPr>
                <w:t>1</w:t>
              </w:r>
            </w:fldSimple>
            <w:bookmarkEnd w:id="16"/>
            <w:r>
              <w:t>)</w:t>
            </w:r>
            <w:bookmarkEnd w:id="17"/>
          </w:p>
        </w:tc>
      </w:tr>
    </w:tbl>
    <w:p w14:paraId="51E9C0A4" w14:textId="77777777" w:rsidR="00E74154" w:rsidRPr="005A0BE0" w:rsidRDefault="00E74154" w:rsidP="005449AA">
      <w:pPr>
        <w:jc w:val="left"/>
        <w:rPr>
          <w:iCs/>
          <w:szCs w:val="24"/>
        </w:rPr>
      </w:pPr>
      <w:proofErr w:type="gramStart"/>
      <w:r w:rsidRPr="00731613">
        <w:rPr>
          <w:iCs/>
          <w:szCs w:val="24"/>
        </w:rPr>
        <w:t>where</w:t>
      </w:r>
      <w:proofErr w:type="gramEnd"/>
      <w:r w:rsidRPr="00731613">
        <w:rPr>
          <w:iCs/>
          <w:szCs w:val="24"/>
        </w:rPr>
        <w:t>:</w:t>
      </w:r>
    </w:p>
    <w:p w14:paraId="0F90354A" w14:textId="77777777" w:rsidR="00E74154" w:rsidRPr="005A0BE0" w:rsidRDefault="00E57C6B" w:rsidP="005449AA">
      <w:pPr>
        <w:jc w:val="left"/>
        <w:rPr>
          <w:iCs/>
          <w:szCs w:val="24"/>
        </w:rPr>
      </w:pPr>
      <m:oMath>
        <m:sSub>
          <m:sSubPr>
            <m:ctrlPr>
              <w:rPr>
                <w:rFonts w:ascii="Cambria Math" w:hAnsi="Cambria Math"/>
                <w:i/>
                <w:iCs/>
                <w:szCs w:val="24"/>
              </w:rPr>
            </m:ctrlPr>
          </m:sSubPr>
          <m:e>
            <m:r>
              <w:rPr>
                <w:rFonts w:ascii="Cambria Math" w:hAnsi="Cambria Math"/>
                <w:szCs w:val="24"/>
              </w:rPr>
              <m:t>x</m:t>
            </m:r>
          </m:e>
          <m:sub>
            <m:r>
              <w:rPr>
                <w:rFonts w:ascii="Cambria Math" w:hAnsi="Cambria Math"/>
                <w:szCs w:val="24"/>
              </w:rPr>
              <m:t>0</m:t>
            </m:r>
          </m:sub>
        </m:sSub>
      </m:oMath>
      <w:r w:rsidR="00E74154" w:rsidRPr="005A0BE0">
        <w:rPr>
          <w:iCs/>
          <w:szCs w:val="24"/>
        </w:rPr>
        <w:t xml:space="preserve"> </w:t>
      </w:r>
      <w:proofErr w:type="gramStart"/>
      <w:r w:rsidR="00E74154" w:rsidRPr="005A0BE0">
        <w:rPr>
          <w:iCs/>
          <w:szCs w:val="24"/>
        </w:rPr>
        <w:t>is</w:t>
      </w:r>
      <w:proofErr w:type="gramEnd"/>
      <w:r w:rsidR="00E74154" w:rsidRPr="005A0BE0">
        <w:rPr>
          <w:iCs/>
          <w:szCs w:val="24"/>
        </w:rPr>
        <w:t xml:space="preserve"> the amplitude of the </w:t>
      </w:r>
      <w:r w:rsidR="00E74154">
        <w:rPr>
          <w:iCs/>
          <w:szCs w:val="24"/>
        </w:rPr>
        <w:t xml:space="preserve">periodic </w:t>
      </w:r>
      <w:r w:rsidR="00E74154" w:rsidRPr="005A0BE0">
        <w:rPr>
          <w:iCs/>
          <w:szCs w:val="24"/>
        </w:rPr>
        <w:t>displacement of the ETM</w:t>
      </w:r>
    </w:p>
    <w:p w14:paraId="2A5905F7" w14:textId="42F503A9" w:rsidR="00E74154" w:rsidRPr="005A0BE0" w:rsidRDefault="00E57C6B" w:rsidP="005449AA">
      <w:pPr>
        <w:jc w:val="left"/>
        <w:rPr>
          <w:iCs/>
          <w:szCs w:val="24"/>
        </w:rPr>
      </w:pP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0</m:t>
            </m:r>
          </m:sub>
        </m:sSub>
      </m:oMath>
      <w:r w:rsidR="00E74154" w:rsidRPr="005A0BE0">
        <w:rPr>
          <w:iCs/>
          <w:szCs w:val="24"/>
        </w:rPr>
        <w:t xml:space="preserve"> </w:t>
      </w:r>
      <w:proofErr w:type="gramStart"/>
      <w:r w:rsidR="00E74154" w:rsidRPr="005A0BE0">
        <w:rPr>
          <w:iCs/>
          <w:szCs w:val="24"/>
        </w:rPr>
        <w:t>is</w:t>
      </w:r>
      <w:proofErr w:type="gramEnd"/>
      <w:r w:rsidR="00E74154" w:rsidRPr="005A0BE0">
        <w:rPr>
          <w:iCs/>
          <w:szCs w:val="24"/>
        </w:rPr>
        <w:t xml:space="preserve"> the amplitude of the </w:t>
      </w:r>
      <w:r w:rsidR="00E74154">
        <w:rPr>
          <w:iCs/>
          <w:szCs w:val="24"/>
        </w:rPr>
        <w:t xml:space="preserve">periodic </w:t>
      </w:r>
      <w:r w:rsidR="00E74154" w:rsidRPr="005A0BE0">
        <w:rPr>
          <w:iCs/>
          <w:szCs w:val="24"/>
        </w:rPr>
        <w:t>laser power modulation</w:t>
      </w:r>
    </w:p>
    <w:p w14:paraId="3446A368" w14:textId="415F51A5" w:rsidR="00E74154" w:rsidRPr="005A0BE0" w:rsidRDefault="00E74154" w:rsidP="005449AA">
      <w:pPr>
        <w:jc w:val="left"/>
        <w:rPr>
          <w:szCs w:val="24"/>
        </w:rPr>
      </w:pPr>
      <m:oMath>
        <m:r>
          <w:rPr>
            <w:rFonts w:ascii="Cambria Math" w:hAnsi="Cambria Math"/>
            <w:szCs w:val="24"/>
          </w:rPr>
          <m:t>c</m:t>
        </m:r>
      </m:oMath>
      <w:r w:rsidRPr="005A0BE0">
        <w:rPr>
          <w:szCs w:val="24"/>
        </w:rPr>
        <w:t xml:space="preserve"> </w:t>
      </w:r>
      <w:proofErr w:type="gramStart"/>
      <w:r w:rsidRPr="005A0BE0">
        <w:rPr>
          <w:szCs w:val="24"/>
        </w:rPr>
        <w:t>is</w:t>
      </w:r>
      <w:proofErr w:type="gramEnd"/>
      <w:r w:rsidRPr="005A0BE0">
        <w:rPr>
          <w:szCs w:val="24"/>
        </w:rPr>
        <w:t xml:space="preserve"> the speed of light in vacuum</w:t>
      </w:r>
    </w:p>
    <w:p w14:paraId="14F79BFC" w14:textId="2A52CC58" w:rsidR="00E74154" w:rsidRPr="005A0BE0" w:rsidRDefault="00E74154" w:rsidP="005449AA">
      <w:pPr>
        <w:jc w:val="left"/>
        <w:rPr>
          <w:szCs w:val="24"/>
        </w:rPr>
      </w:pPr>
      <m:oMath>
        <m:r>
          <w:rPr>
            <w:rFonts w:ascii="Cambria Math" w:hAnsi="Cambria Math"/>
            <w:szCs w:val="24"/>
          </w:rPr>
          <m:t>M</m:t>
        </m:r>
      </m:oMath>
      <w:r w:rsidRPr="005A0BE0">
        <w:rPr>
          <w:szCs w:val="24"/>
        </w:rPr>
        <w:t xml:space="preserve"> </w:t>
      </w:r>
      <w:proofErr w:type="gramStart"/>
      <w:r w:rsidRPr="005A0BE0">
        <w:rPr>
          <w:szCs w:val="24"/>
        </w:rPr>
        <w:t>is</w:t>
      </w:r>
      <w:proofErr w:type="gramEnd"/>
      <w:r w:rsidRPr="005A0BE0">
        <w:rPr>
          <w:szCs w:val="24"/>
        </w:rPr>
        <w:t xml:space="preserve"> the mass of the ETM</w:t>
      </w:r>
    </w:p>
    <w:p w14:paraId="7A27C5CB" w14:textId="5C3725AE" w:rsidR="00E74154" w:rsidRPr="005A0BE0" w:rsidRDefault="00E74154" w:rsidP="005449AA">
      <w:pPr>
        <w:jc w:val="left"/>
        <w:rPr>
          <w:szCs w:val="24"/>
        </w:rPr>
      </w:pPr>
      <m:oMath>
        <m:r>
          <w:rPr>
            <w:rFonts w:ascii="Cambria Math" w:hAnsi="Cambria Math"/>
            <w:szCs w:val="24"/>
          </w:rPr>
          <m:t>ω</m:t>
        </m:r>
      </m:oMath>
      <w:r w:rsidRPr="005A0BE0">
        <w:rPr>
          <w:szCs w:val="24"/>
        </w:rPr>
        <w:t xml:space="preserve"> </w:t>
      </w:r>
      <w:proofErr w:type="gramStart"/>
      <w:r w:rsidRPr="005A0BE0">
        <w:rPr>
          <w:szCs w:val="24"/>
        </w:rPr>
        <w:t>is</w:t>
      </w:r>
      <w:proofErr w:type="gramEnd"/>
      <w:r w:rsidRPr="005A0BE0">
        <w:rPr>
          <w:szCs w:val="24"/>
        </w:rPr>
        <w:t xml:space="preserve"> the angular frequency of the power modulation</w:t>
      </w:r>
    </w:p>
    <w:p w14:paraId="62DC063D" w14:textId="78E6BFEA" w:rsidR="00E74154" w:rsidRDefault="00E74154" w:rsidP="005449AA">
      <w:pPr>
        <w:jc w:val="left"/>
        <w:rPr>
          <w:szCs w:val="24"/>
        </w:rPr>
      </w:pPr>
      <m:oMath>
        <m:r>
          <w:rPr>
            <w:rFonts w:ascii="Cambria Math" w:hAnsi="Cambria Math"/>
            <w:szCs w:val="24"/>
          </w:rPr>
          <m:t>θ</m:t>
        </m:r>
      </m:oMath>
      <w:r w:rsidRPr="005A0BE0">
        <w:rPr>
          <w:szCs w:val="24"/>
        </w:rPr>
        <w:t xml:space="preserve"> </w:t>
      </w:r>
      <w:proofErr w:type="gramStart"/>
      <w:r w:rsidRPr="005A0BE0">
        <w:rPr>
          <w:szCs w:val="24"/>
        </w:rPr>
        <w:t>is</w:t>
      </w:r>
      <w:proofErr w:type="gramEnd"/>
      <w:r w:rsidRPr="005A0BE0">
        <w:rPr>
          <w:szCs w:val="24"/>
        </w:rPr>
        <w:t xml:space="preserve"> the angle of incidence on the ETM</w:t>
      </w:r>
    </w:p>
    <w:p w14:paraId="7A8C1B2A" w14:textId="2FBA5EBA" w:rsidR="00C71416" w:rsidRDefault="00C71416" w:rsidP="005449AA">
      <w:pPr>
        <w:jc w:val="left"/>
        <w:rPr>
          <w:szCs w:val="24"/>
        </w:rPr>
      </w:pPr>
      <w:proofErr w:type="gramStart"/>
      <w:r>
        <w:rPr>
          <w:szCs w:val="24"/>
        </w:rPr>
        <w:t>and</w:t>
      </w:r>
      <w:proofErr w:type="gramEnd"/>
      <w:r>
        <w:rPr>
          <w:szCs w:val="24"/>
        </w:rPr>
        <w:t xml:space="preserve"> the minus sign indicates that the induced displacement is 180° out of phase with the driving force.</w:t>
      </w:r>
    </w:p>
    <w:p w14:paraId="37E9F941" w14:textId="0C77BD3E" w:rsidR="003F690B" w:rsidRDefault="00FE725B" w:rsidP="005449AA">
      <w:pPr>
        <w:pStyle w:val="Heading1"/>
        <w:jc w:val="left"/>
      </w:pPr>
      <w:bookmarkStart w:id="18" w:name="_Toc321729343"/>
      <w:r>
        <w:t>Performance Requirements</w:t>
      </w:r>
      <w:bookmarkEnd w:id="18"/>
    </w:p>
    <w:p w14:paraId="3F912E99" w14:textId="71BF36F0" w:rsidR="003F690B" w:rsidRPr="003F690B" w:rsidRDefault="00D22639" w:rsidP="005449AA">
      <w:pPr>
        <w:jc w:val="left"/>
      </w:pPr>
      <w:r>
        <w:t xml:space="preserve">This section </w:t>
      </w:r>
      <w:r w:rsidR="001920AB">
        <w:t>addresses</w:t>
      </w:r>
      <w:r>
        <w:t xml:space="preserve"> </w:t>
      </w:r>
      <w:r w:rsidR="003F690B">
        <w:t>the</w:t>
      </w:r>
      <w:r w:rsidR="00FE7C4D">
        <w:t xml:space="preserve"> key requirements that impact</w:t>
      </w:r>
      <w:r w:rsidR="001920AB">
        <w:t xml:space="preserve"> the design of the Photon Calibrator</w:t>
      </w:r>
      <w:r w:rsidR="00FE7C4D">
        <w:t>s</w:t>
      </w:r>
      <w:r w:rsidR="001920AB">
        <w:t>.</w:t>
      </w:r>
    </w:p>
    <w:p w14:paraId="2E7CE19E" w14:textId="392AB42C" w:rsidR="003F690B" w:rsidRDefault="003F690B" w:rsidP="005449AA">
      <w:pPr>
        <w:pStyle w:val="Heading2"/>
        <w:jc w:val="left"/>
      </w:pPr>
      <w:bookmarkStart w:id="19" w:name="_Ref311715281"/>
      <w:bookmarkStart w:id="20" w:name="_Toc311728769"/>
      <w:bookmarkStart w:id="21" w:name="_Toc321729344"/>
      <w:r>
        <w:t>Accuracy of Induced Displacements</w:t>
      </w:r>
      <w:r w:rsidR="00A417FB">
        <w:t>: Absolute Power Calibration</w:t>
      </w:r>
      <w:r w:rsidR="0024563D">
        <w:t>, Beam Positioning on ETM Surface</w:t>
      </w:r>
      <w:bookmarkEnd w:id="19"/>
      <w:bookmarkEnd w:id="20"/>
      <w:bookmarkEnd w:id="21"/>
    </w:p>
    <w:p w14:paraId="184F3E72" w14:textId="184F97C5" w:rsidR="00F06C4B" w:rsidRDefault="00755C8D" w:rsidP="005449AA">
      <w:pPr>
        <w:jc w:val="left"/>
      </w:pPr>
      <w:r>
        <w:t>The</w:t>
      </w:r>
      <w:r w:rsidR="003F690B">
        <w:t xml:space="preserve"> sinusoidal </w:t>
      </w:r>
      <w:r w:rsidR="00BD42A2">
        <w:t>Pcal</w:t>
      </w:r>
      <w:r w:rsidR="003F690B">
        <w:t xml:space="preserve">-induced </w:t>
      </w:r>
      <w:r w:rsidR="00DC2A9D">
        <w:t>displacements of the ETMs are</w:t>
      </w:r>
      <w:r w:rsidR="00F06C4B">
        <w:t xml:space="preserve"> required to</w:t>
      </w:r>
      <w:r w:rsidR="003F690B">
        <w:t xml:space="preserve"> be accurate within 5% </w:t>
      </w:r>
      <w:r>
        <w:t xml:space="preserve">in amplitude </w:t>
      </w:r>
      <w:r w:rsidR="003F690B">
        <w:t>and 16µs</w:t>
      </w:r>
      <w:r w:rsidR="00F06C4B">
        <w:t xml:space="preserve"> </w:t>
      </w:r>
      <w:r>
        <w:t>in timing over</w:t>
      </w:r>
      <w:r w:rsidR="00F06C4B">
        <w:t xml:space="preserve"> 2σ confidence interval</w:t>
      </w:r>
      <w:r>
        <w:t>s</w:t>
      </w:r>
      <w:r w:rsidR="00F06C4B">
        <w:t>.</w:t>
      </w:r>
    </w:p>
    <w:p w14:paraId="08EC7726" w14:textId="2A73DDF5" w:rsidR="0024563D" w:rsidRDefault="001920AB" w:rsidP="005449AA">
      <w:pPr>
        <w:jc w:val="left"/>
        <w:rPr>
          <w:szCs w:val="24"/>
        </w:rPr>
      </w:pPr>
      <w:r>
        <w:rPr>
          <w:szCs w:val="24"/>
        </w:rPr>
        <w:t xml:space="preserve">All of the parameters in Equation </w:t>
      </w:r>
      <w:r>
        <w:rPr>
          <w:szCs w:val="24"/>
        </w:rPr>
        <w:fldChar w:fldCharType="begin"/>
      </w:r>
      <w:r>
        <w:rPr>
          <w:szCs w:val="24"/>
        </w:rPr>
        <w:instrText xml:space="preserve"> REF _Ref309216842 \h </w:instrText>
      </w:r>
      <w:r>
        <w:rPr>
          <w:szCs w:val="24"/>
        </w:rPr>
      </w:r>
      <w:r>
        <w:rPr>
          <w:szCs w:val="24"/>
        </w:rPr>
        <w:fldChar w:fldCharType="separate"/>
      </w:r>
      <w:r w:rsidR="00E57C6B">
        <w:t>(</w:t>
      </w:r>
      <w:r w:rsidR="00E57C6B">
        <w:rPr>
          <w:noProof/>
        </w:rPr>
        <w:t>1</w:t>
      </w:r>
      <w:r w:rsidR="00E57C6B">
        <w:t>)</w:t>
      </w:r>
      <w:r>
        <w:rPr>
          <w:szCs w:val="24"/>
        </w:rPr>
        <w:fldChar w:fldCharType="end"/>
      </w:r>
      <w:r>
        <w:rPr>
          <w:szCs w:val="24"/>
        </w:rPr>
        <w:t xml:space="preserve">, except </w:t>
      </w:r>
      <w:r w:rsidR="00EB4DDF">
        <w:rPr>
          <w:szCs w:val="24"/>
        </w:rPr>
        <w:t xml:space="preserve">for </w:t>
      </w:r>
      <w:r>
        <w:rPr>
          <w:szCs w:val="24"/>
        </w:rPr>
        <w:t>the absolute laser power modulation amplit</w:t>
      </w:r>
      <w:r w:rsidR="00AA0416">
        <w:rPr>
          <w:szCs w:val="24"/>
        </w:rPr>
        <w:t>ude, will be known with accuracies</w:t>
      </w:r>
      <w:r>
        <w:rPr>
          <w:szCs w:val="24"/>
        </w:rPr>
        <w:t xml:space="preserve"> sufficient to reduce their contribution to the overall induced displacement error to below 0.1%. </w:t>
      </w:r>
      <w:r w:rsidR="00DF4AA7">
        <w:rPr>
          <w:szCs w:val="24"/>
        </w:rPr>
        <w:t xml:space="preserve">Equation </w:t>
      </w:r>
      <w:r w:rsidR="00DF4AA7">
        <w:rPr>
          <w:szCs w:val="24"/>
        </w:rPr>
        <w:fldChar w:fldCharType="begin"/>
      </w:r>
      <w:r w:rsidR="00DF4AA7">
        <w:rPr>
          <w:szCs w:val="24"/>
        </w:rPr>
        <w:instrText xml:space="preserve"> REF _Ref309216842 \h </w:instrText>
      </w:r>
      <w:r w:rsidR="00DF4AA7">
        <w:rPr>
          <w:szCs w:val="24"/>
        </w:rPr>
      </w:r>
      <w:r w:rsidR="00DF4AA7">
        <w:rPr>
          <w:szCs w:val="24"/>
        </w:rPr>
        <w:fldChar w:fldCharType="separate"/>
      </w:r>
      <w:r w:rsidR="00E57C6B">
        <w:t>(</w:t>
      </w:r>
      <w:r w:rsidR="00E57C6B">
        <w:rPr>
          <w:noProof/>
        </w:rPr>
        <w:t>1</w:t>
      </w:r>
      <w:r w:rsidR="00E57C6B">
        <w:t>)</w:t>
      </w:r>
      <w:r w:rsidR="00DF4AA7">
        <w:rPr>
          <w:szCs w:val="24"/>
        </w:rPr>
        <w:fldChar w:fldCharType="end"/>
      </w:r>
      <w:r w:rsidR="00131E64">
        <w:rPr>
          <w:szCs w:val="24"/>
        </w:rPr>
        <w:t xml:space="preserve"> does not include contributions to sensed displacement</w:t>
      </w:r>
      <w:r w:rsidR="00DC2A9D">
        <w:rPr>
          <w:szCs w:val="24"/>
        </w:rPr>
        <w:t>s</w:t>
      </w:r>
      <w:r w:rsidR="00131E64">
        <w:rPr>
          <w:szCs w:val="24"/>
        </w:rPr>
        <w:t xml:space="preserve"> resulting from radiation-induced rotation of the ETMs or elastic deformation of the ETMs (either local or bulk).</w:t>
      </w:r>
      <w:r>
        <w:rPr>
          <w:szCs w:val="24"/>
        </w:rPr>
        <w:t xml:space="preserve"> </w:t>
      </w:r>
      <w:r w:rsidR="00131E64">
        <w:rPr>
          <w:szCs w:val="24"/>
        </w:rPr>
        <w:t xml:space="preserve">Accurate positioning of the Pcal beams on the ETM surface can minimize both of these potential sources of calibration errors. </w:t>
      </w:r>
      <w:r w:rsidR="00AA0416">
        <w:rPr>
          <w:szCs w:val="24"/>
        </w:rPr>
        <w:t>W</w:t>
      </w:r>
      <w:r w:rsidR="00272F62">
        <w:rPr>
          <w:szCs w:val="24"/>
        </w:rPr>
        <w:t xml:space="preserve">e expect that </w:t>
      </w:r>
      <w:r>
        <w:rPr>
          <w:szCs w:val="24"/>
        </w:rPr>
        <w:t xml:space="preserve">Pcal uncertainties </w:t>
      </w:r>
      <w:r w:rsidR="00272F62">
        <w:rPr>
          <w:szCs w:val="24"/>
        </w:rPr>
        <w:t>will be</w:t>
      </w:r>
      <w:r>
        <w:rPr>
          <w:szCs w:val="24"/>
        </w:rPr>
        <w:t xml:space="preserve"> dominated by determination of absolute laser power modulation amplitudes</w:t>
      </w:r>
      <w:bookmarkStart w:id="22" w:name="_Toc294606293"/>
      <w:bookmarkStart w:id="23" w:name="_Toc294606294"/>
      <w:bookmarkStart w:id="24" w:name="_Toc294606295"/>
      <w:bookmarkStart w:id="25" w:name="_Toc294606296"/>
      <w:bookmarkStart w:id="26" w:name="_Toc294606299"/>
      <w:bookmarkStart w:id="27" w:name="_Toc294606301"/>
      <w:bookmarkStart w:id="28" w:name="_Toc294606302"/>
      <w:bookmarkStart w:id="29" w:name="_Toc294606303"/>
      <w:bookmarkStart w:id="30" w:name="_Toc294606310"/>
      <w:bookmarkStart w:id="31" w:name="_Toc294606311"/>
      <w:bookmarkStart w:id="32" w:name="_Toc294606315"/>
      <w:bookmarkStart w:id="33" w:name="_Toc294606321"/>
      <w:bookmarkStart w:id="34" w:name="_Toc294606322"/>
      <w:bookmarkEnd w:id="22"/>
      <w:bookmarkEnd w:id="23"/>
      <w:bookmarkEnd w:id="24"/>
      <w:bookmarkEnd w:id="25"/>
      <w:bookmarkEnd w:id="26"/>
      <w:bookmarkEnd w:id="27"/>
      <w:bookmarkEnd w:id="28"/>
      <w:bookmarkEnd w:id="29"/>
      <w:bookmarkEnd w:id="30"/>
      <w:bookmarkEnd w:id="31"/>
      <w:bookmarkEnd w:id="32"/>
      <w:bookmarkEnd w:id="33"/>
      <w:bookmarkEnd w:id="34"/>
      <w:r>
        <w:rPr>
          <w:szCs w:val="24"/>
        </w:rPr>
        <w:t xml:space="preserve"> (see Section </w:t>
      </w:r>
      <w:r>
        <w:rPr>
          <w:szCs w:val="24"/>
        </w:rPr>
        <w:fldChar w:fldCharType="begin"/>
      </w:r>
      <w:r>
        <w:rPr>
          <w:szCs w:val="24"/>
        </w:rPr>
        <w:instrText xml:space="preserve"> REF _Ref311712447 \r \h </w:instrText>
      </w:r>
      <w:r>
        <w:rPr>
          <w:szCs w:val="24"/>
        </w:rPr>
      </w:r>
      <w:r>
        <w:rPr>
          <w:szCs w:val="24"/>
        </w:rPr>
        <w:fldChar w:fldCharType="separate"/>
      </w:r>
      <w:r w:rsidR="00E57C6B">
        <w:rPr>
          <w:szCs w:val="24"/>
          <w:cs/>
        </w:rPr>
        <w:t>‎</w:t>
      </w:r>
      <w:r w:rsidR="00E57C6B">
        <w:rPr>
          <w:szCs w:val="24"/>
        </w:rPr>
        <w:t>6</w:t>
      </w:r>
      <w:r>
        <w:rPr>
          <w:szCs w:val="24"/>
        </w:rPr>
        <w:fldChar w:fldCharType="end"/>
      </w:r>
      <w:r w:rsidR="005449AA">
        <w:rPr>
          <w:szCs w:val="24"/>
        </w:rPr>
        <w:t>). Our experience during iLIGO and eLIGO indicates that absolute laser power calibration at the 1% level (2σ) is achievable with the scheme we propose.</w:t>
      </w:r>
    </w:p>
    <w:p w14:paraId="4365D28B" w14:textId="070135F2" w:rsidR="00DC2A9D" w:rsidRPr="00990E52" w:rsidRDefault="00990E52" w:rsidP="005449AA">
      <w:pPr>
        <w:pStyle w:val="Heading3"/>
        <w:jc w:val="left"/>
      </w:pPr>
      <w:bookmarkStart w:id="35" w:name="_Toc321729345"/>
      <w:r>
        <w:t>Absolute Power Calibration</w:t>
      </w:r>
      <w:bookmarkEnd w:id="35"/>
    </w:p>
    <w:p w14:paraId="0F381B13" w14:textId="269611BB" w:rsidR="00990E52" w:rsidRDefault="00990E52" w:rsidP="005449AA">
      <w:pPr>
        <w:jc w:val="left"/>
      </w:pPr>
      <w:r>
        <w:t xml:space="preserve">Absolute laser power calibration is achieved by transferring the calibration of a </w:t>
      </w:r>
      <w:r w:rsidRPr="005A0BE0">
        <w:rPr>
          <w:i/>
        </w:rPr>
        <w:t>Gold Standard</w:t>
      </w:r>
      <w:r>
        <w:t xml:space="preserve"> power sensor that is periodically calibrated at the National Institute of Standards and Technology (NIST) to </w:t>
      </w:r>
      <w:r w:rsidRPr="005A0BE0">
        <w:rPr>
          <w:i/>
        </w:rPr>
        <w:t>Working Standard</w:t>
      </w:r>
      <w:r>
        <w:t xml:space="preserve"> power sensors that are used to calibrate power sensors that are located inside the Pcal transmitter and receiver modules, sensing the laser power directed to and reflected from the test mass</w:t>
      </w:r>
      <w:r w:rsidR="00AA0416">
        <w:t>es</w:t>
      </w:r>
      <w:r>
        <w:t>.</w:t>
      </w:r>
    </w:p>
    <w:p w14:paraId="767372FA" w14:textId="03CF3E87" w:rsidR="00990E52" w:rsidRDefault="00990E52" w:rsidP="005449AA">
      <w:pPr>
        <w:jc w:val="left"/>
      </w:pPr>
      <w:r>
        <w:t xml:space="preserve">This calibration strategy, which was developed in consultation with Dr. Joshua </w:t>
      </w:r>
      <w:proofErr w:type="spellStart"/>
      <w:r>
        <w:t>Hadler</w:t>
      </w:r>
      <w:proofErr w:type="spellEnd"/>
      <w:r>
        <w:t xml:space="preserve"> at NIST</w:t>
      </w:r>
      <w:r w:rsidR="004E5C0C">
        <w:t>, is s</w:t>
      </w:r>
      <w:r w:rsidR="00AA0416">
        <w:t xml:space="preserve">hown schematically in </w:t>
      </w:r>
      <w:r w:rsidR="00AA0416">
        <w:fldChar w:fldCharType="begin"/>
      </w:r>
      <w:r w:rsidR="00AA0416">
        <w:instrText xml:space="preserve"> REF _Ref186983123 \h </w:instrText>
      </w:r>
      <w:r w:rsidR="00AA0416">
        <w:fldChar w:fldCharType="separate"/>
      </w:r>
      <w:r w:rsidR="00E57C6B">
        <w:t xml:space="preserve">Figure </w:t>
      </w:r>
      <w:r w:rsidR="00E57C6B">
        <w:rPr>
          <w:noProof/>
        </w:rPr>
        <w:t>4</w:t>
      </w:r>
      <w:r w:rsidR="00AA0416">
        <w:fldChar w:fldCharType="end"/>
      </w:r>
      <w:r w:rsidR="004E5C0C">
        <w:t>.</w:t>
      </w:r>
      <w:r>
        <w:t xml:space="preserve"> It is intended to enable “NIST traceability</w:t>
      </w:r>
      <w:r>
        <w:rPr>
          <w:rStyle w:val="FootnoteReference"/>
        </w:rPr>
        <w:footnoteReference w:id="1"/>
      </w:r>
      <w:r>
        <w:t>” of the absolute power calibra</w:t>
      </w:r>
      <w:r w:rsidR="00AA0416">
        <w:t>tion of the Pcals with overall 2σ uncertainty of less than 5 percent</w:t>
      </w:r>
      <w:r>
        <w:t>.</w:t>
      </w:r>
    </w:p>
    <w:p w14:paraId="460EE12C" w14:textId="77777777" w:rsidR="00990E52" w:rsidRDefault="00990E52" w:rsidP="005449AA">
      <w:pPr>
        <w:keepNext/>
        <w:jc w:val="left"/>
      </w:pPr>
      <w:r>
        <w:rPr>
          <w:noProof/>
          <w:lang w:bidi="he-IL"/>
        </w:rPr>
        <w:lastRenderedPageBreak/>
        <w:drawing>
          <wp:inline distT="0" distB="0" distL="0" distR="0" wp14:anchorId="09155B04" wp14:editId="13516D8A">
            <wp:extent cx="5943600" cy="3750945"/>
            <wp:effectExtent l="0" t="0" r="0" b="1905"/>
            <wp:docPr id="28896" name="Picture 2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750945"/>
                    </a:xfrm>
                    <a:prstGeom prst="rect">
                      <a:avLst/>
                    </a:prstGeom>
                  </pic:spPr>
                </pic:pic>
              </a:graphicData>
            </a:graphic>
          </wp:inline>
        </w:drawing>
      </w:r>
    </w:p>
    <w:p w14:paraId="43E134AB" w14:textId="7CA04095" w:rsidR="00990E52" w:rsidRDefault="00990E52" w:rsidP="005449AA">
      <w:pPr>
        <w:pStyle w:val="Caption"/>
        <w:jc w:val="left"/>
        <w:rPr>
          <w:noProof/>
        </w:rPr>
      </w:pPr>
      <w:bookmarkStart w:id="36" w:name="_Ref186983123"/>
      <w:bookmarkStart w:id="37" w:name="_Toc168713273"/>
      <w:bookmarkStart w:id="38" w:name="_Toc311535625"/>
      <w:r>
        <w:t xml:space="preserve">Figure </w:t>
      </w:r>
      <w:fldSimple w:instr=" SEQ Figure \* ARABIC ">
        <w:r w:rsidR="00E57C6B">
          <w:rPr>
            <w:noProof/>
          </w:rPr>
          <w:t>4</w:t>
        </w:r>
      </w:fldSimple>
      <w:bookmarkEnd w:id="36"/>
      <w:r>
        <w:rPr>
          <w:noProof/>
        </w:rPr>
        <w:t xml:space="preserve"> – aLIGO Pcal absolute laser power calibration scheme.</w:t>
      </w:r>
      <w:bookmarkEnd w:id="37"/>
      <w:r w:rsidR="00227744">
        <w:rPr>
          <w:noProof/>
        </w:rPr>
        <w:t xml:space="preserve"> Circles represent power calibration standards</w:t>
      </w:r>
      <w:r>
        <w:rPr>
          <w:noProof/>
        </w:rPr>
        <w:t>, black boxes represent Pcal transmitte</w:t>
      </w:r>
      <w:r w:rsidR="00227744">
        <w:rPr>
          <w:noProof/>
        </w:rPr>
        <w:t>r modules, NIST represents the National Standard Calorimetric Calibration F</w:t>
      </w:r>
      <w:r>
        <w:rPr>
          <w:noProof/>
        </w:rPr>
        <w:t>acility</w:t>
      </w:r>
      <w:r w:rsidR="00227744">
        <w:rPr>
          <w:noProof/>
        </w:rPr>
        <w:t xml:space="preserve"> at NIST</w:t>
      </w:r>
      <w:r>
        <w:rPr>
          <w:noProof/>
        </w:rPr>
        <w:t>, and dashed lines represent calibration links.</w:t>
      </w:r>
      <w:bookmarkEnd w:id="38"/>
    </w:p>
    <w:p w14:paraId="2F37EAC3" w14:textId="55F0F09D" w:rsidR="0012003C" w:rsidRPr="00990E52" w:rsidRDefault="00990E52" w:rsidP="005449AA">
      <w:pPr>
        <w:jc w:val="left"/>
      </w:pPr>
      <w:r>
        <w:t xml:space="preserve">All of the aLIGO Pcal power sensors are InGaAs photoreceivers mounted on integrating spheres.  While these sensors are subject to laser speckle that induces slow </w:t>
      </w:r>
      <w:r w:rsidR="00DA1E67">
        <w:t xml:space="preserve">uncorrelated </w:t>
      </w:r>
      <w:r>
        <w:t>variations in their outputs (period of seconds to minutes with amplitudes of a fraction of a percent), they are insensitive to input beam parameters</w:t>
      </w:r>
      <w:r>
        <w:rPr>
          <w:rStyle w:val="FootnoteReference"/>
        </w:rPr>
        <w:footnoteReference w:id="2"/>
      </w:r>
      <w:r w:rsidR="00DA1E67">
        <w:t xml:space="preserve"> such as</w:t>
      </w:r>
      <w:r>
        <w:t xml:space="preserve"> alignment, divergence,</w:t>
      </w:r>
      <w:r w:rsidR="00DA1E67">
        <w:t xml:space="preserve"> polarization, spot size, etc.  They</w:t>
      </w:r>
      <w:r>
        <w:t xml:space="preserve"> have proven to be long-term stable at the 1% level.</w:t>
      </w:r>
      <w:r w:rsidR="009704C9">
        <w:t xml:space="preserve"> See Section</w:t>
      </w:r>
      <w:r w:rsidR="00DA1E67">
        <w:t xml:space="preserve"> </w:t>
      </w:r>
      <w:r w:rsidR="009704C9">
        <w:fldChar w:fldCharType="begin"/>
      </w:r>
      <w:r w:rsidR="009704C9">
        <w:instrText xml:space="preserve"> REF _Ref311715482 \r \h </w:instrText>
      </w:r>
      <w:r w:rsidR="009704C9">
        <w:fldChar w:fldCharType="separate"/>
      </w:r>
      <w:r w:rsidR="00E57C6B">
        <w:rPr>
          <w:cs/>
        </w:rPr>
        <w:t>‎</w:t>
      </w:r>
      <w:r w:rsidR="00E57C6B">
        <w:t>6</w:t>
      </w:r>
      <w:r w:rsidR="009704C9">
        <w:fldChar w:fldCharType="end"/>
      </w:r>
      <w:r w:rsidR="009704C9">
        <w:t xml:space="preserve"> for a more detailed discussion of the absolute power calibration.</w:t>
      </w:r>
    </w:p>
    <w:p w14:paraId="78D9EB56" w14:textId="3233C500" w:rsidR="00F53751" w:rsidRPr="00990E52" w:rsidRDefault="00F53751" w:rsidP="005449AA">
      <w:pPr>
        <w:pStyle w:val="Heading3"/>
        <w:jc w:val="left"/>
      </w:pPr>
      <w:bookmarkStart w:id="39" w:name="_Toc321729346"/>
      <w:r>
        <w:t>Beam Positioning</w:t>
      </w:r>
      <w:r w:rsidR="00C0671B">
        <w:t xml:space="preserve"> on ETM Surface</w:t>
      </w:r>
      <w:bookmarkEnd w:id="39"/>
    </w:p>
    <w:p w14:paraId="4816E525" w14:textId="50E65BAA" w:rsidR="00C71416" w:rsidRPr="00C71416" w:rsidRDefault="009704C9" w:rsidP="005449AA">
      <w:pPr>
        <w:jc w:val="left"/>
        <w:rPr>
          <w:rFonts w:asciiTheme="majorBidi" w:hAnsiTheme="majorBidi" w:cstheme="majorBidi"/>
          <w:szCs w:val="24"/>
        </w:rPr>
      </w:pPr>
      <w:r>
        <w:rPr>
          <w:szCs w:val="24"/>
        </w:rPr>
        <w:t>To account for the impact of Pcal-induced rotation of the ETM on the displacement sensed by the interferometer, Equation (</w:t>
      </w:r>
      <w:r w:rsidRPr="00C71416">
        <w:rPr>
          <w:rFonts w:asciiTheme="majorBidi" w:hAnsiTheme="majorBidi" w:cstheme="majorBidi"/>
          <w:szCs w:val="24"/>
        </w:rPr>
        <w:t xml:space="preserve">1) should be multiplied by the factor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C71416" w14:paraId="243B0891" w14:textId="77777777" w:rsidTr="00C71416">
        <w:trPr>
          <w:jc w:val="center"/>
        </w:trPr>
        <w:tc>
          <w:tcPr>
            <w:tcW w:w="750" w:type="pct"/>
            <w:vAlign w:val="center"/>
          </w:tcPr>
          <w:p w14:paraId="437D6836" w14:textId="77777777" w:rsidR="00C71416" w:rsidRDefault="00C71416" w:rsidP="005449AA">
            <w:pPr>
              <w:jc w:val="left"/>
            </w:pPr>
          </w:p>
        </w:tc>
        <w:tc>
          <w:tcPr>
            <w:tcW w:w="3500" w:type="pct"/>
          </w:tcPr>
          <w:p w14:paraId="390F0B8E" w14:textId="2E0CC727" w:rsidR="00C71416" w:rsidRPr="00437EF0" w:rsidRDefault="00E57C6B" w:rsidP="005449AA">
            <w:pPr>
              <w:jc w:val="left"/>
            </w:pPr>
            <m:oMath>
              <m:d>
                <m:dPr>
                  <m:ctrlPr>
                    <w:rPr>
                      <w:rFonts w:ascii="Cambria Math" w:hAnsi="Cambria Math" w:cstheme="majorBidi"/>
                      <w:i/>
                      <w:iCs/>
                      <w:sz w:val="32"/>
                      <w:szCs w:val="32"/>
                    </w:rPr>
                  </m:ctrlPr>
                </m:dPr>
                <m:e>
                  <m:r>
                    <w:rPr>
                      <w:rFonts w:ascii="Cambria Math" w:hAnsi="Cambria Math" w:cstheme="majorBidi"/>
                      <w:sz w:val="32"/>
                      <w:szCs w:val="32"/>
                    </w:rPr>
                    <m:t>1+</m:t>
                  </m:r>
                  <m:f>
                    <m:fPr>
                      <m:ctrlPr>
                        <w:rPr>
                          <w:rFonts w:ascii="Cambria Math" w:hAnsi="Cambria Math" w:cstheme="majorBidi"/>
                          <w:i/>
                          <w:iCs/>
                          <w:sz w:val="32"/>
                          <w:szCs w:val="32"/>
                        </w:rPr>
                      </m:ctrlPr>
                    </m:fPr>
                    <m:num>
                      <m:r>
                        <w:rPr>
                          <w:rFonts w:ascii="Cambria Math" w:hAnsi="Cambria Math" w:cstheme="majorBidi"/>
                          <w:sz w:val="32"/>
                          <w:szCs w:val="32"/>
                        </w:rPr>
                        <m:t>M</m:t>
                      </m:r>
                    </m:num>
                    <m:den>
                      <m:r>
                        <w:rPr>
                          <w:rFonts w:ascii="Cambria Math" w:hAnsi="Cambria Math" w:cstheme="majorBidi"/>
                          <w:sz w:val="32"/>
                          <w:szCs w:val="32"/>
                        </w:rPr>
                        <m:t>I</m:t>
                      </m:r>
                    </m:den>
                  </m:f>
                  <m:acc>
                    <m:accPr>
                      <m:chr m:val="⃑"/>
                      <m:ctrlPr>
                        <w:rPr>
                          <w:rFonts w:ascii="Cambria Math" w:hAnsi="Cambria Math" w:cstheme="majorBidi"/>
                          <w:i/>
                          <w:iCs/>
                          <w:sz w:val="32"/>
                          <w:szCs w:val="32"/>
                        </w:rPr>
                      </m:ctrlPr>
                    </m:accPr>
                    <m:e>
                      <m:r>
                        <w:rPr>
                          <w:rFonts w:ascii="Cambria Math" w:hAnsi="Cambria Math" w:cstheme="majorBidi"/>
                          <w:sz w:val="32"/>
                          <w:szCs w:val="32"/>
                        </w:rPr>
                        <m:t>a</m:t>
                      </m:r>
                    </m:e>
                  </m:acc>
                  <m:r>
                    <w:rPr>
                      <w:rFonts w:ascii="Cambria Math" w:hAnsi="Cambria Math" w:cstheme="majorBidi"/>
                      <w:sz w:val="32"/>
                      <w:szCs w:val="32"/>
                    </w:rPr>
                    <m:t>∙</m:t>
                  </m:r>
                  <m:acc>
                    <m:accPr>
                      <m:chr m:val="⃑"/>
                      <m:ctrlPr>
                        <w:rPr>
                          <w:rFonts w:ascii="Cambria Math" w:hAnsi="Cambria Math" w:cstheme="majorBidi"/>
                          <w:i/>
                          <w:iCs/>
                          <w:sz w:val="32"/>
                          <w:szCs w:val="32"/>
                        </w:rPr>
                      </m:ctrlPr>
                    </m:accPr>
                    <m:e>
                      <m:r>
                        <w:rPr>
                          <w:rFonts w:ascii="Cambria Math" w:hAnsi="Cambria Math" w:cstheme="majorBidi"/>
                          <w:sz w:val="32"/>
                          <w:szCs w:val="32"/>
                        </w:rPr>
                        <m:t>b</m:t>
                      </m:r>
                    </m:e>
                  </m:acc>
                </m:e>
              </m:d>
            </m:oMath>
            <w:r w:rsidR="00C71416" w:rsidRPr="00C71416">
              <w:rPr>
                <w:rFonts w:asciiTheme="majorBidi" w:hAnsiTheme="majorBidi" w:cstheme="majorBidi"/>
                <w:iCs/>
                <w:sz w:val="28"/>
                <w:szCs w:val="28"/>
              </w:rPr>
              <w:t xml:space="preserve"> </w:t>
            </w:r>
          </w:p>
        </w:tc>
        <w:tc>
          <w:tcPr>
            <w:tcW w:w="750" w:type="pct"/>
            <w:vAlign w:val="center"/>
          </w:tcPr>
          <w:p w14:paraId="113B1FAE" w14:textId="67107374" w:rsidR="00C71416" w:rsidRDefault="00C71416" w:rsidP="005449AA">
            <w:pPr>
              <w:jc w:val="left"/>
            </w:pPr>
            <w:bookmarkStart w:id="40" w:name="_Ref312403987"/>
            <w:bookmarkStart w:id="41" w:name="_Ref311716510"/>
            <w:r>
              <w:t>(</w:t>
            </w:r>
            <w:fldSimple w:instr=" SEQ Equation \* ARABIC ">
              <w:r w:rsidR="00E57C6B">
                <w:rPr>
                  <w:noProof/>
                </w:rPr>
                <w:t>2</w:t>
              </w:r>
            </w:fldSimple>
            <w:bookmarkEnd w:id="40"/>
            <w:r>
              <w:t>)</w:t>
            </w:r>
            <w:bookmarkEnd w:id="41"/>
          </w:p>
        </w:tc>
      </w:tr>
    </w:tbl>
    <w:p w14:paraId="30AC94E8" w14:textId="654A4239" w:rsidR="00046F00" w:rsidRDefault="00145687" w:rsidP="005449AA">
      <w:pPr>
        <w:jc w:val="left"/>
        <w:rPr>
          <w:iCs/>
          <w:szCs w:val="24"/>
        </w:rPr>
      </w:pPr>
      <w:r>
        <w:rPr>
          <w:rFonts w:asciiTheme="majorBidi" w:hAnsiTheme="majorBidi" w:cstheme="majorBidi"/>
          <w:iCs/>
          <w:szCs w:val="24"/>
        </w:rPr>
        <w:t>where</w:t>
      </w:r>
      <w:r w:rsidR="00C71416">
        <w:rPr>
          <w:rFonts w:asciiTheme="majorBidi" w:hAnsiTheme="majorBidi" w:cstheme="majorBidi"/>
          <w:iCs/>
          <w:szCs w:val="24"/>
        </w:rPr>
        <w:t xml:space="preserve"> </w:t>
      </w:r>
      <m:oMath>
        <m:acc>
          <m:accPr>
            <m:chr m:val="⃑"/>
            <m:ctrlPr>
              <w:rPr>
                <w:rFonts w:ascii="Cambria Math" w:hAnsi="Cambria Math" w:cstheme="majorBidi"/>
                <w:i/>
                <w:iCs/>
                <w:szCs w:val="24"/>
              </w:rPr>
            </m:ctrlPr>
          </m:accPr>
          <m:e>
            <m:r>
              <w:rPr>
                <w:rFonts w:ascii="Cambria Math" w:hAnsi="Cambria Math" w:cstheme="majorBidi"/>
                <w:szCs w:val="24"/>
              </w:rPr>
              <m:t>a</m:t>
            </m:r>
          </m:e>
        </m:acc>
      </m:oMath>
      <w:r w:rsidR="009704C9" w:rsidRPr="00C71416">
        <w:rPr>
          <w:rFonts w:asciiTheme="majorBidi" w:hAnsiTheme="majorBidi" w:cstheme="majorBidi"/>
          <w:iCs/>
          <w:szCs w:val="24"/>
        </w:rPr>
        <w:t xml:space="preserve"> and </w:t>
      </w:r>
      <m:oMath>
        <m:acc>
          <m:accPr>
            <m:chr m:val="⃑"/>
            <m:ctrlPr>
              <w:rPr>
                <w:rFonts w:ascii="Cambria Math" w:hAnsi="Cambria Math" w:cstheme="majorBidi"/>
                <w:i/>
                <w:iCs/>
                <w:szCs w:val="24"/>
              </w:rPr>
            </m:ctrlPr>
          </m:accPr>
          <m:e>
            <m:r>
              <w:rPr>
                <w:rFonts w:ascii="Cambria Math" w:hAnsi="Cambria Math" w:cstheme="majorBidi"/>
                <w:szCs w:val="24"/>
              </w:rPr>
              <m:t>b</m:t>
            </m:r>
          </m:e>
        </m:acc>
      </m:oMath>
      <w:r w:rsidR="009704C9" w:rsidRPr="00C71416">
        <w:rPr>
          <w:rFonts w:asciiTheme="majorBidi" w:hAnsiTheme="majorBidi" w:cstheme="majorBidi"/>
          <w:iCs/>
          <w:szCs w:val="24"/>
        </w:rPr>
        <w:t xml:space="preserve"> are displacement vectors from </w:t>
      </w:r>
      <w:r w:rsidR="00826F4A" w:rsidRPr="00C71416">
        <w:rPr>
          <w:rFonts w:asciiTheme="majorBidi" w:hAnsiTheme="majorBidi" w:cstheme="majorBidi"/>
          <w:iCs/>
          <w:szCs w:val="24"/>
        </w:rPr>
        <w:t>the center of the face of the ETM to the center of the interferometer bea</w:t>
      </w:r>
      <w:r w:rsidR="00826F4A" w:rsidRPr="00145687">
        <w:rPr>
          <w:rFonts w:asciiTheme="majorBidi" w:hAnsiTheme="majorBidi" w:cstheme="majorBidi"/>
          <w:iCs/>
          <w:szCs w:val="24"/>
        </w:rPr>
        <w:t>m</w:t>
      </w:r>
      <w:r w:rsidR="00826F4A">
        <w:rPr>
          <w:rFonts w:asciiTheme="majorBidi" w:hAnsiTheme="majorBidi" w:cstheme="majorBidi"/>
          <w:iCs/>
          <w:szCs w:val="24"/>
        </w:rPr>
        <w:t>, and</w:t>
      </w:r>
      <w:r w:rsidR="00826F4A" w:rsidRPr="00145687">
        <w:rPr>
          <w:rFonts w:asciiTheme="majorBidi" w:hAnsiTheme="majorBidi" w:cstheme="majorBidi"/>
          <w:iCs/>
          <w:szCs w:val="24"/>
        </w:rPr>
        <w:t xml:space="preserve"> </w:t>
      </w:r>
      <w:r w:rsidR="003E7B88">
        <w:rPr>
          <w:rFonts w:asciiTheme="majorBidi" w:hAnsiTheme="majorBidi" w:cstheme="majorBidi"/>
          <w:iCs/>
          <w:szCs w:val="24"/>
        </w:rPr>
        <w:t xml:space="preserve">to </w:t>
      </w:r>
      <w:r w:rsidR="009704C9" w:rsidRPr="00145687">
        <w:rPr>
          <w:rFonts w:asciiTheme="majorBidi" w:hAnsiTheme="majorBidi" w:cstheme="majorBidi"/>
          <w:iCs/>
          <w:szCs w:val="24"/>
        </w:rPr>
        <w:t>the</w:t>
      </w:r>
      <w:r w:rsidR="00C71416" w:rsidRPr="00145687">
        <w:rPr>
          <w:rFonts w:asciiTheme="majorBidi" w:hAnsiTheme="majorBidi" w:cstheme="majorBidi"/>
          <w:iCs/>
          <w:szCs w:val="24"/>
        </w:rPr>
        <w:t xml:space="preserve"> center of force for t</w:t>
      </w:r>
      <w:r w:rsidRPr="00145687">
        <w:rPr>
          <w:rFonts w:asciiTheme="majorBidi" w:hAnsiTheme="majorBidi" w:cstheme="majorBidi"/>
          <w:iCs/>
          <w:szCs w:val="24"/>
        </w:rPr>
        <w:t>he two Pcal beams, respectively, and</w:t>
      </w:r>
      <w:r w:rsidR="00C71416" w:rsidRPr="00145687">
        <w:rPr>
          <w:rFonts w:asciiTheme="majorBidi" w:hAnsiTheme="majorBidi" w:cstheme="majorBidi"/>
          <w:iCs/>
          <w:szCs w:val="24"/>
        </w:rPr>
        <w:t xml:space="preserve"> </w:t>
      </w:r>
      <m:oMath>
        <m:r>
          <w:rPr>
            <w:rFonts w:ascii="Cambria Math" w:hAnsi="Cambria Math" w:cstheme="majorBidi"/>
            <w:szCs w:val="24"/>
          </w:rPr>
          <m:t>I</m:t>
        </m:r>
      </m:oMath>
      <w:r w:rsidR="009704C9" w:rsidRPr="00145687">
        <w:rPr>
          <w:iCs/>
          <w:szCs w:val="24"/>
        </w:rPr>
        <w:t xml:space="preserve"> </w:t>
      </w:r>
      <w:r w:rsidRPr="00145687">
        <w:rPr>
          <w:iCs/>
          <w:szCs w:val="24"/>
        </w:rPr>
        <w:t>is the moment of inertia about an axis through the center of the ETM and parallel to the face of the optic</w:t>
      </w:r>
      <w:r w:rsidR="00826F4A">
        <w:rPr>
          <w:iCs/>
          <w:szCs w:val="24"/>
        </w:rPr>
        <w:t xml:space="preserve"> </w:t>
      </w:r>
      <w:r w:rsidR="00DA1E67">
        <w:rPr>
          <w:iCs/>
          <w:szCs w:val="24"/>
        </w:rPr>
        <w:t xml:space="preserve">(see </w:t>
      </w:r>
      <w:hyperlink r:id="rId39" w:history="1">
        <w:r w:rsidR="00826F4A" w:rsidRPr="00826F4A">
          <w:rPr>
            <w:rStyle w:val="Hyperlink"/>
            <w:iCs/>
            <w:szCs w:val="24"/>
          </w:rPr>
          <w:t>LIGO-P080118</w:t>
        </w:r>
      </w:hyperlink>
      <w:r w:rsidR="00826F4A">
        <w:rPr>
          <w:iCs/>
          <w:szCs w:val="24"/>
        </w:rPr>
        <w:t>).</w:t>
      </w:r>
      <w:r w:rsidR="008B7605">
        <w:rPr>
          <w:iCs/>
          <w:szCs w:val="24"/>
        </w:rPr>
        <w:t xml:space="preserve"> E</w:t>
      </w:r>
      <w:r w:rsidR="003E7B88">
        <w:rPr>
          <w:iCs/>
          <w:szCs w:val="24"/>
        </w:rPr>
        <w:t>ven</w:t>
      </w:r>
      <w:r w:rsidR="00D7091D">
        <w:rPr>
          <w:iCs/>
          <w:szCs w:val="24"/>
        </w:rPr>
        <w:t xml:space="preserve"> </w:t>
      </w:r>
      <w:r w:rsidR="00C0671B">
        <w:rPr>
          <w:iCs/>
          <w:szCs w:val="24"/>
        </w:rPr>
        <w:t xml:space="preserve">if both </w:t>
      </w:r>
      <w:r w:rsidR="002D3AB5">
        <w:rPr>
          <w:iCs/>
          <w:szCs w:val="24"/>
        </w:rPr>
        <w:t>displacement vectors</w:t>
      </w:r>
      <w:r w:rsidR="00C0671B">
        <w:rPr>
          <w:iCs/>
          <w:szCs w:val="24"/>
        </w:rPr>
        <w:t xml:space="preserve"> are parallel and as large as</w:t>
      </w:r>
      <w:r w:rsidR="00046F00">
        <w:rPr>
          <w:iCs/>
          <w:szCs w:val="24"/>
        </w:rPr>
        <w:t xml:space="preserve"> 1 cm, the </w:t>
      </w:r>
      <w:r w:rsidR="00046F00">
        <w:rPr>
          <w:iCs/>
          <w:szCs w:val="24"/>
        </w:rPr>
        <w:lastRenderedPageBreak/>
        <w:t xml:space="preserve">resulting </w:t>
      </w:r>
      <w:r w:rsidR="003B3E48">
        <w:rPr>
          <w:iCs/>
          <w:szCs w:val="24"/>
        </w:rPr>
        <w:t>factor</w:t>
      </w:r>
      <w:r w:rsidR="00046F00">
        <w:rPr>
          <w:iCs/>
          <w:szCs w:val="24"/>
        </w:rPr>
        <w:t xml:space="preserve"> </w:t>
      </w:r>
      <w:r w:rsidR="0066040A">
        <w:rPr>
          <w:iCs/>
          <w:szCs w:val="24"/>
        </w:rPr>
        <w:t>for</w:t>
      </w:r>
      <w:r w:rsidR="00046F00">
        <w:rPr>
          <w:iCs/>
          <w:szCs w:val="24"/>
        </w:rPr>
        <w:t xml:space="preserve"> sensing the induced displacement</w:t>
      </w:r>
      <w:r w:rsidR="008B7605">
        <w:rPr>
          <w:iCs/>
          <w:szCs w:val="24"/>
        </w:rPr>
        <w:t xml:space="preserve">, the </w:t>
      </w:r>
      <w:r w:rsidR="00A7787C">
        <w:rPr>
          <w:iCs/>
          <w:szCs w:val="24"/>
        </w:rPr>
        <w:t>rotational factor given by the second term of</w:t>
      </w:r>
      <w:r w:rsidR="008B7605">
        <w:rPr>
          <w:iCs/>
          <w:szCs w:val="24"/>
        </w:rPr>
        <w:t xml:space="preserve"> Equation </w:t>
      </w:r>
      <w:r w:rsidR="008B7605">
        <w:rPr>
          <w:iCs/>
          <w:szCs w:val="24"/>
        </w:rPr>
        <w:fldChar w:fldCharType="begin"/>
      </w:r>
      <w:r w:rsidR="008B7605">
        <w:rPr>
          <w:iCs/>
          <w:szCs w:val="24"/>
        </w:rPr>
        <w:instrText xml:space="preserve"> REF _Ref311716510 \h </w:instrText>
      </w:r>
      <w:r w:rsidR="008B7605">
        <w:rPr>
          <w:iCs/>
          <w:szCs w:val="24"/>
        </w:rPr>
      </w:r>
      <w:r w:rsidR="008B7605">
        <w:rPr>
          <w:iCs/>
          <w:szCs w:val="24"/>
        </w:rPr>
        <w:fldChar w:fldCharType="separate"/>
      </w:r>
      <w:r w:rsidR="00E57C6B">
        <w:t>(</w:t>
      </w:r>
      <w:r w:rsidR="00E57C6B">
        <w:rPr>
          <w:noProof/>
        </w:rPr>
        <w:t>2</w:t>
      </w:r>
      <w:r w:rsidR="00E57C6B">
        <w:t>)</w:t>
      </w:r>
      <w:r w:rsidR="008B7605">
        <w:rPr>
          <w:iCs/>
          <w:szCs w:val="24"/>
        </w:rPr>
        <w:fldChar w:fldCharType="end"/>
      </w:r>
      <w:r w:rsidR="00A7787C">
        <w:rPr>
          <w:iCs/>
          <w:szCs w:val="24"/>
        </w:rPr>
        <w:t xml:space="preserve">, </w:t>
      </w:r>
      <w:r w:rsidR="00046F00">
        <w:rPr>
          <w:iCs/>
          <w:szCs w:val="24"/>
        </w:rPr>
        <w:t xml:space="preserve">will be less </w:t>
      </w:r>
      <w:r w:rsidR="0091041D">
        <w:rPr>
          <w:iCs/>
          <w:szCs w:val="24"/>
        </w:rPr>
        <w:t>than</w:t>
      </w:r>
      <w:r w:rsidR="002D3AB5">
        <w:rPr>
          <w:iCs/>
          <w:szCs w:val="24"/>
        </w:rPr>
        <w:t xml:space="preserve"> 0.01</w:t>
      </w:r>
      <w:r w:rsidR="00046F00">
        <w:rPr>
          <w:iCs/>
          <w:szCs w:val="24"/>
        </w:rPr>
        <w:t>.</w:t>
      </w:r>
      <w:r w:rsidR="0066040A">
        <w:rPr>
          <w:iCs/>
          <w:szCs w:val="24"/>
        </w:rPr>
        <w:t xml:space="preserve"> This term is thus omitted from Equation </w:t>
      </w:r>
      <w:r w:rsidR="0066040A">
        <w:rPr>
          <w:iCs/>
          <w:szCs w:val="24"/>
        </w:rPr>
        <w:fldChar w:fldCharType="begin"/>
      </w:r>
      <w:r w:rsidR="0066040A">
        <w:rPr>
          <w:iCs/>
          <w:szCs w:val="24"/>
        </w:rPr>
        <w:instrText xml:space="preserve"> REF _Ref309216842 \h </w:instrText>
      </w:r>
      <w:r w:rsidR="0066040A">
        <w:rPr>
          <w:iCs/>
          <w:szCs w:val="24"/>
        </w:rPr>
      </w:r>
      <w:r w:rsidR="0066040A">
        <w:rPr>
          <w:iCs/>
          <w:szCs w:val="24"/>
        </w:rPr>
        <w:fldChar w:fldCharType="separate"/>
      </w:r>
      <w:r w:rsidR="00E57C6B">
        <w:t>(</w:t>
      </w:r>
      <w:r w:rsidR="00E57C6B">
        <w:rPr>
          <w:noProof/>
        </w:rPr>
        <w:t>1</w:t>
      </w:r>
      <w:r w:rsidR="00E57C6B">
        <w:t>)</w:t>
      </w:r>
      <w:r w:rsidR="0066040A">
        <w:rPr>
          <w:iCs/>
          <w:szCs w:val="24"/>
        </w:rPr>
        <w:fldChar w:fldCharType="end"/>
      </w:r>
      <w:r w:rsidR="0066040A">
        <w:rPr>
          <w:iCs/>
          <w:szCs w:val="24"/>
        </w:rPr>
        <w:t>.</w:t>
      </w:r>
    </w:p>
    <w:p w14:paraId="112A571B" w14:textId="77777777" w:rsidR="000920C4" w:rsidRDefault="0039566A" w:rsidP="005449AA">
      <w:pPr>
        <w:jc w:val="left"/>
        <w:rPr>
          <w:lang w:bidi="he-IL"/>
        </w:rPr>
      </w:pPr>
      <w:r w:rsidRPr="002933D9">
        <w:rPr>
          <w:lang w:bidi="he-IL"/>
        </w:rPr>
        <w:t xml:space="preserve">Actuation forces applied to </w:t>
      </w:r>
      <w:r>
        <w:rPr>
          <w:lang w:bidi="he-IL"/>
        </w:rPr>
        <w:t xml:space="preserve">the </w:t>
      </w:r>
      <w:r w:rsidRPr="002933D9">
        <w:rPr>
          <w:lang w:bidi="he-IL"/>
        </w:rPr>
        <w:t>ETMs produce both local</w:t>
      </w:r>
      <w:r w:rsidRPr="002933D9">
        <w:rPr>
          <w:vertAlign w:val="subscript"/>
          <w:lang w:bidi="he-IL"/>
        </w:rPr>
        <w:t>3</w:t>
      </w:r>
      <w:proofErr w:type="gramStart"/>
      <w:r w:rsidRPr="002933D9">
        <w:rPr>
          <w:vertAlign w:val="subscript"/>
          <w:lang w:bidi="he-IL"/>
        </w:rPr>
        <w:t>,4</w:t>
      </w:r>
      <w:proofErr w:type="gramEnd"/>
      <w:r w:rsidRPr="002933D9">
        <w:rPr>
          <w:lang w:bidi="he-IL"/>
        </w:rPr>
        <w:t xml:space="preserve"> and bulk</w:t>
      </w:r>
      <w:r w:rsidRPr="002933D9">
        <w:rPr>
          <w:vertAlign w:val="subscript"/>
          <w:lang w:bidi="he-IL"/>
        </w:rPr>
        <w:t>5,6</w:t>
      </w:r>
      <w:r w:rsidRPr="002933D9">
        <w:rPr>
          <w:lang w:bidi="he-IL"/>
        </w:rPr>
        <w:t xml:space="preserve"> elastic deformations that can significantly alter the interferometer’s response, especially when the frequencies of the modulated forces </w:t>
      </w:r>
      <w:r>
        <w:rPr>
          <w:lang w:bidi="he-IL"/>
        </w:rPr>
        <w:t>are</w:t>
      </w:r>
      <w:r w:rsidRPr="002933D9">
        <w:rPr>
          <w:lang w:bidi="he-IL"/>
        </w:rPr>
        <w:t xml:space="preserve"> above 1 </w:t>
      </w:r>
      <w:r>
        <w:rPr>
          <w:lang w:bidi="he-IL"/>
        </w:rPr>
        <w:t>kHz.</w:t>
      </w:r>
      <w:r w:rsidR="008B7605">
        <w:rPr>
          <w:lang w:bidi="he-IL"/>
        </w:rPr>
        <w:t xml:space="preserve"> </w:t>
      </w:r>
      <w:r w:rsidR="000920C4">
        <w:rPr>
          <w:lang w:bidi="he-IL"/>
        </w:rPr>
        <w:t xml:space="preserve"> </w:t>
      </w:r>
      <w:r w:rsidR="008B7605">
        <w:rPr>
          <w:lang w:bidi="he-IL"/>
        </w:rPr>
        <w:t xml:space="preserve">Equation </w:t>
      </w:r>
      <w:r w:rsidR="008B7605" w:rsidRPr="008B7605">
        <w:rPr>
          <w:lang w:bidi="he-IL"/>
        </w:rPr>
        <w:fldChar w:fldCharType="begin"/>
      </w:r>
      <w:r w:rsidR="008B7605" w:rsidRPr="008B7605">
        <w:rPr>
          <w:lang w:bidi="he-IL"/>
        </w:rPr>
        <w:instrText xml:space="preserve"> REF _Ref309216842 \h  \* MERGEFORMAT </w:instrText>
      </w:r>
      <w:r w:rsidR="008B7605" w:rsidRPr="008B7605">
        <w:rPr>
          <w:lang w:bidi="he-IL"/>
        </w:rPr>
      </w:r>
      <w:r w:rsidR="008B7605" w:rsidRPr="008B7605">
        <w:rPr>
          <w:lang w:bidi="he-IL"/>
        </w:rPr>
        <w:fldChar w:fldCharType="separate"/>
      </w:r>
      <w:r w:rsidR="00E57C6B">
        <w:t>(</w:t>
      </w:r>
      <w:r w:rsidR="00E57C6B">
        <w:rPr>
          <w:noProof/>
        </w:rPr>
        <w:t>1</w:t>
      </w:r>
      <w:r w:rsidR="00E57C6B">
        <w:t>)</w:t>
      </w:r>
      <w:r w:rsidR="008B7605" w:rsidRPr="008B7605">
        <w:rPr>
          <w:lang w:bidi="he-IL"/>
        </w:rPr>
        <w:fldChar w:fldCharType="end"/>
      </w:r>
      <w:r w:rsidRPr="002933D9">
        <w:rPr>
          <w:lang w:bidi="he-IL"/>
        </w:rPr>
        <w:t xml:space="preserve">, the Photon Calibrator displacement formula, assumes that the ETM </w:t>
      </w:r>
      <w:r>
        <w:rPr>
          <w:lang w:bidi="he-IL"/>
        </w:rPr>
        <w:t>moves</w:t>
      </w:r>
      <w:r w:rsidRPr="002933D9">
        <w:rPr>
          <w:lang w:bidi="he-IL"/>
        </w:rPr>
        <w:t xml:space="preserve"> </w:t>
      </w:r>
      <w:r>
        <w:rPr>
          <w:lang w:bidi="he-IL"/>
        </w:rPr>
        <w:t>as</w:t>
      </w:r>
      <w:r w:rsidR="00C0671B">
        <w:rPr>
          <w:lang w:bidi="he-IL"/>
        </w:rPr>
        <w:t xml:space="preserve"> an ideal free </w:t>
      </w:r>
      <w:r w:rsidR="000920C4">
        <w:rPr>
          <w:lang w:bidi="he-IL"/>
        </w:rPr>
        <w:t xml:space="preserve">and rigid </w:t>
      </w:r>
      <w:r w:rsidRPr="002933D9">
        <w:rPr>
          <w:lang w:bidi="he-IL"/>
        </w:rPr>
        <w:t xml:space="preserve">mass.  However, these elastic deformations would cause the </w:t>
      </w:r>
      <w:r w:rsidR="00DA1E67">
        <w:rPr>
          <w:lang w:bidi="he-IL"/>
        </w:rPr>
        <w:t>displacement of the surface</w:t>
      </w:r>
      <w:r w:rsidRPr="002933D9">
        <w:rPr>
          <w:lang w:bidi="he-IL"/>
        </w:rPr>
        <w:t xml:space="preserve"> of the ETM to </w:t>
      </w:r>
      <w:r w:rsidR="000920C4">
        <w:rPr>
          <w:lang w:bidi="he-IL"/>
        </w:rPr>
        <w:t>deviate from the ideal</w:t>
      </w:r>
      <w:r w:rsidR="00DA1E67">
        <w:rPr>
          <w:lang w:bidi="he-IL"/>
        </w:rPr>
        <w:t xml:space="preserve"> rigid-body</w:t>
      </w:r>
      <w:r w:rsidRPr="002933D9">
        <w:rPr>
          <w:lang w:bidi="he-IL"/>
        </w:rPr>
        <w:t xml:space="preserve"> mo</w:t>
      </w:r>
      <w:r w:rsidR="00C0671B">
        <w:rPr>
          <w:lang w:bidi="he-IL"/>
        </w:rPr>
        <w:t>tion.</w:t>
      </w:r>
      <w:r>
        <w:rPr>
          <w:lang w:bidi="he-IL"/>
        </w:rPr>
        <w:t xml:space="preserve"> The aLIGO ETMs are also unique because of the flats on either side of the ETM which complicate modeling.</w:t>
      </w:r>
      <w:r w:rsidR="003E7B88">
        <w:rPr>
          <w:lang w:bidi="he-IL"/>
        </w:rPr>
        <w:t xml:space="preserve"> </w:t>
      </w:r>
    </w:p>
    <w:p w14:paraId="22FB7C0D" w14:textId="248B4824" w:rsidR="0039566A" w:rsidRDefault="0039566A" w:rsidP="005449AA">
      <w:pPr>
        <w:jc w:val="left"/>
        <w:rPr>
          <w:lang w:bidi="he-IL"/>
        </w:rPr>
      </w:pPr>
      <w:r>
        <w:rPr>
          <w:lang w:bidi="he-IL"/>
        </w:rPr>
        <w:t xml:space="preserve">H. </w:t>
      </w:r>
      <w:r w:rsidRPr="004D25CA">
        <w:rPr>
          <w:lang w:bidi="he-IL"/>
        </w:rPr>
        <w:t xml:space="preserve">Pablo </w:t>
      </w:r>
      <w:r w:rsidRPr="005A6555">
        <w:rPr>
          <w:lang w:bidi="he-IL"/>
        </w:rPr>
        <w:t>Daveloza</w:t>
      </w:r>
      <w:r w:rsidRPr="004D25CA">
        <w:rPr>
          <w:lang w:bidi="he-IL"/>
        </w:rPr>
        <w:t xml:space="preserve">, using Finite Element </w:t>
      </w:r>
      <w:r w:rsidR="000920C4">
        <w:rPr>
          <w:lang w:bidi="he-IL"/>
        </w:rPr>
        <w:t>Analysis in COMSOL, studied these</w:t>
      </w:r>
      <w:r w:rsidRPr="004D25CA">
        <w:rPr>
          <w:lang w:bidi="he-IL"/>
        </w:rPr>
        <w:t xml:space="preserve"> effect</w:t>
      </w:r>
      <w:r w:rsidR="000920C4">
        <w:rPr>
          <w:lang w:bidi="he-IL"/>
        </w:rPr>
        <w:t>s</w:t>
      </w:r>
      <w:r w:rsidRPr="004D25CA">
        <w:rPr>
          <w:lang w:bidi="he-IL"/>
        </w:rPr>
        <w:t xml:space="preserve"> and </w:t>
      </w:r>
      <w:r>
        <w:rPr>
          <w:lang w:bidi="he-IL"/>
        </w:rPr>
        <w:t>s</w:t>
      </w:r>
      <w:r w:rsidRPr="004D25CA">
        <w:rPr>
          <w:lang w:bidi="he-IL"/>
        </w:rPr>
        <w:t xml:space="preserve">ummarized his results in </w:t>
      </w:r>
      <w:hyperlink r:id="rId40" w:history="1">
        <w:r w:rsidRPr="00C0671B">
          <w:rPr>
            <w:rStyle w:val="Hyperlink"/>
            <w:rFonts w:asciiTheme="majorBidi" w:hAnsiTheme="majorBidi" w:cstheme="majorBidi"/>
            <w:szCs w:val="24"/>
            <w:lang w:bidi="he-IL"/>
          </w:rPr>
          <w:t>LIGO-</w:t>
        </w:r>
        <w:r w:rsidR="00C0671B" w:rsidRPr="00C0671B">
          <w:rPr>
            <w:rStyle w:val="Hyperlink"/>
            <w:rFonts w:asciiTheme="majorBidi" w:hAnsiTheme="majorBidi" w:cstheme="majorBidi"/>
            <w:szCs w:val="24"/>
            <w:lang w:bidi="he-IL"/>
          </w:rPr>
          <w:t>P1100166</w:t>
        </w:r>
      </w:hyperlink>
      <w:r w:rsidR="00D31FF4">
        <w:rPr>
          <w:lang w:bidi="he-IL"/>
        </w:rPr>
        <w:t>.</w:t>
      </w:r>
      <w:r w:rsidRPr="004D25CA">
        <w:rPr>
          <w:lang w:bidi="he-IL"/>
        </w:rPr>
        <w:t xml:space="preserve"> </w:t>
      </w:r>
      <w:r>
        <w:rPr>
          <w:lang w:bidi="he-IL"/>
        </w:rPr>
        <w:t xml:space="preserve">He also investigated the optimal number of </w:t>
      </w:r>
      <w:r w:rsidR="00D31FF4">
        <w:rPr>
          <w:lang w:bidi="he-IL"/>
        </w:rPr>
        <w:t xml:space="preserve">Pcal </w:t>
      </w:r>
      <w:r w:rsidR="005A6555">
        <w:rPr>
          <w:lang w:bidi="he-IL"/>
        </w:rPr>
        <w:t>beams</w:t>
      </w:r>
      <w:r>
        <w:rPr>
          <w:lang w:bidi="he-IL"/>
        </w:rPr>
        <w:t xml:space="preserve"> </w:t>
      </w:r>
      <w:r w:rsidR="000920C4">
        <w:rPr>
          <w:lang w:bidi="he-IL"/>
        </w:rPr>
        <w:t xml:space="preserve">and </w:t>
      </w:r>
      <w:r w:rsidR="005A6555">
        <w:rPr>
          <w:lang w:bidi="he-IL"/>
        </w:rPr>
        <w:t xml:space="preserve">the </w:t>
      </w:r>
      <w:r w:rsidR="000920C4">
        <w:rPr>
          <w:lang w:bidi="he-IL"/>
        </w:rPr>
        <w:t xml:space="preserve">optimal </w:t>
      </w:r>
      <w:r w:rsidR="005A6555" w:rsidRPr="005A6555">
        <w:rPr>
          <w:lang w:bidi="he-IL"/>
        </w:rPr>
        <w:t>locations</w:t>
      </w:r>
      <w:r w:rsidR="005A6555">
        <w:rPr>
          <w:lang w:bidi="he-IL"/>
        </w:rPr>
        <w:t xml:space="preserve"> of those beams</w:t>
      </w:r>
      <w:r>
        <w:rPr>
          <w:lang w:bidi="he-IL"/>
        </w:rPr>
        <w:t xml:space="preserve"> on the surface of the </w:t>
      </w:r>
      <w:r w:rsidR="000920C4">
        <w:rPr>
          <w:lang w:bidi="he-IL"/>
        </w:rPr>
        <w:t xml:space="preserve">ETM. </w:t>
      </w:r>
      <w:r w:rsidR="000920C4" w:rsidRPr="000920C4">
        <w:rPr>
          <w:lang w:bidi="he-IL"/>
        </w:rPr>
        <w:t xml:space="preserve"> </w:t>
      </w:r>
      <w:r w:rsidR="000920C4">
        <w:rPr>
          <w:lang w:bidi="he-IL"/>
        </w:rPr>
        <w:t xml:space="preserve">The main ETM normal modes that would be excited by the Pcal radiation forces are the </w:t>
      </w:r>
      <w:r w:rsidR="000920C4" w:rsidRPr="000920C4">
        <w:rPr>
          <w:i/>
          <w:lang w:bidi="he-IL"/>
        </w:rPr>
        <w:t>butterfly</w:t>
      </w:r>
      <w:r w:rsidR="000920C4">
        <w:rPr>
          <w:lang w:bidi="he-IL"/>
        </w:rPr>
        <w:t xml:space="preserve"> and </w:t>
      </w:r>
      <w:r w:rsidR="000920C4" w:rsidRPr="000920C4">
        <w:rPr>
          <w:i/>
          <w:lang w:bidi="he-IL"/>
        </w:rPr>
        <w:t>drumhead</w:t>
      </w:r>
      <w:r w:rsidR="0016183D">
        <w:rPr>
          <w:lang w:bidi="he-IL"/>
        </w:rPr>
        <w:t xml:space="preserve"> modes shown </w:t>
      </w:r>
      <w:r w:rsidR="0016183D">
        <w:rPr>
          <w:lang w:bidi="he-IL"/>
        </w:rPr>
        <w:fldChar w:fldCharType="begin"/>
      </w:r>
      <w:r w:rsidR="0016183D">
        <w:rPr>
          <w:lang w:bidi="he-IL"/>
        </w:rPr>
        <w:instrText xml:space="preserve"> REF _Ref187251387 \h </w:instrText>
      </w:r>
      <w:r w:rsidR="0016183D">
        <w:rPr>
          <w:lang w:bidi="he-IL"/>
        </w:rPr>
      </w:r>
      <w:r w:rsidR="0016183D">
        <w:rPr>
          <w:lang w:bidi="he-IL"/>
        </w:rPr>
        <w:fldChar w:fldCharType="separate"/>
      </w:r>
      <w:r w:rsidR="00E57C6B">
        <w:t xml:space="preserve">Figure </w:t>
      </w:r>
      <w:r w:rsidR="00E57C6B">
        <w:rPr>
          <w:noProof/>
        </w:rPr>
        <w:t>5</w:t>
      </w:r>
      <w:r w:rsidR="0016183D">
        <w:rPr>
          <w:lang w:bidi="he-IL"/>
        </w:rPr>
        <w:fldChar w:fldCharType="end"/>
      </w:r>
      <w:r w:rsidR="00D27E1A">
        <w:rPr>
          <w:lang w:bidi="he-IL"/>
        </w:rPr>
        <w:t xml:space="preserve">. </w:t>
      </w:r>
    </w:p>
    <w:p w14:paraId="5C6528BE" w14:textId="33A216F3" w:rsidR="00B53B57" w:rsidRDefault="00B53B57" w:rsidP="005449AA">
      <w:pPr>
        <w:keepNext/>
        <w:jc w:val="left"/>
      </w:pPr>
      <w:r>
        <w:rPr>
          <w:noProof/>
          <w:lang w:bidi="he-IL"/>
        </w:rPr>
        <w:drawing>
          <wp:inline distT="0" distB="0" distL="0" distR="0" wp14:anchorId="30A76A68" wp14:editId="21A9E0EA">
            <wp:extent cx="2918765" cy="2918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97" cy="2920397"/>
                    </a:xfrm>
                    <a:prstGeom prst="rect">
                      <a:avLst/>
                    </a:prstGeom>
                    <a:noFill/>
                    <a:ln>
                      <a:noFill/>
                    </a:ln>
                  </pic:spPr>
                </pic:pic>
              </a:graphicData>
            </a:graphic>
          </wp:inline>
        </w:drawing>
      </w:r>
      <w:r w:rsidRPr="00B53B57">
        <w:rPr>
          <w:noProof/>
        </w:rPr>
        <w:t xml:space="preserve"> </w:t>
      </w:r>
      <w:r>
        <w:rPr>
          <w:noProof/>
          <w:lang w:bidi="he-IL"/>
        </w:rPr>
        <w:drawing>
          <wp:inline distT="0" distB="0" distL="0" distR="0" wp14:anchorId="7CEC5CA1" wp14:editId="12AA8AF8">
            <wp:extent cx="2911450" cy="291145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3078" cy="2913078"/>
                    </a:xfrm>
                    <a:prstGeom prst="rect">
                      <a:avLst/>
                    </a:prstGeom>
                    <a:noFill/>
                    <a:ln>
                      <a:noFill/>
                    </a:ln>
                  </pic:spPr>
                </pic:pic>
              </a:graphicData>
            </a:graphic>
          </wp:inline>
        </w:drawing>
      </w:r>
    </w:p>
    <w:p w14:paraId="60E50D5B" w14:textId="7EF04D44" w:rsidR="00B53B57" w:rsidRDefault="00B53B57" w:rsidP="005449AA">
      <w:pPr>
        <w:pStyle w:val="Caption"/>
        <w:jc w:val="left"/>
        <w:rPr>
          <w:lang w:bidi="he-IL"/>
        </w:rPr>
      </w:pPr>
      <w:bookmarkStart w:id="42" w:name="_Ref187251387"/>
      <w:r>
        <w:t xml:space="preserve">Figure </w:t>
      </w:r>
      <w:fldSimple w:instr=" SEQ Figure \* ARABIC ">
        <w:r w:rsidR="00E57C6B">
          <w:rPr>
            <w:noProof/>
          </w:rPr>
          <w:t>5</w:t>
        </w:r>
      </w:fldSimple>
      <w:bookmarkEnd w:id="42"/>
      <w:r>
        <w:t xml:space="preserve"> COMSOL simulation of the butterfly mode excited at ~6.1 kHz (left) and the drumhead mode excited at ~8.1 kHz, both for the aLIGO ETM.</w:t>
      </w:r>
    </w:p>
    <w:p w14:paraId="4E212E68" w14:textId="02CEA733" w:rsidR="00D27E1A" w:rsidRDefault="0016183D" w:rsidP="005449AA">
      <w:pPr>
        <w:jc w:val="left"/>
        <w:rPr>
          <w:lang w:bidi="he-IL"/>
        </w:rPr>
      </w:pPr>
      <w:r>
        <w:t>The COMSOL</w:t>
      </w:r>
      <w:r w:rsidR="00B53B57">
        <w:t xml:space="preserve"> modeling revealed that if the two Pcal beams are located optimally the excitation of the drumhead-pattern deformation of the ETM</w:t>
      </w:r>
      <w:r>
        <w:t xml:space="preserve"> is</w:t>
      </w:r>
      <w:r w:rsidR="00B53B57">
        <w:t xml:space="preserve"> minimized.  For the aLIGO ETMs, the optimum locations are diametrically opposed and 111.6 mm from the center of the ETM as shown in </w:t>
      </w:r>
      <w:r w:rsidR="00B53B57">
        <w:fldChar w:fldCharType="begin"/>
      </w:r>
      <w:r w:rsidR="00B53B57">
        <w:instrText xml:space="preserve"> REF _Ref186986014 \h </w:instrText>
      </w:r>
      <w:r w:rsidR="00B53B57">
        <w:fldChar w:fldCharType="separate"/>
      </w:r>
      <w:r w:rsidR="00E57C6B">
        <w:t xml:space="preserve">Figure </w:t>
      </w:r>
      <w:r w:rsidR="00E57C6B">
        <w:rPr>
          <w:noProof/>
        </w:rPr>
        <w:t>6</w:t>
      </w:r>
      <w:r w:rsidR="00B53B57">
        <w:fldChar w:fldCharType="end"/>
      </w:r>
      <w:r w:rsidR="00B53B57">
        <w:t>.</w:t>
      </w:r>
    </w:p>
    <w:p w14:paraId="33BF87D3" w14:textId="77777777" w:rsidR="000920C4" w:rsidRDefault="000920C4" w:rsidP="005449AA">
      <w:pPr>
        <w:keepNext/>
        <w:autoSpaceDE w:val="0"/>
        <w:autoSpaceDN w:val="0"/>
        <w:adjustRightInd w:val="0"/>
        <w:jc w:val="left"/>
      </w:pPr>
      <w:r>
        <w:rPr>
          <w:rFonts w:asciiTheme="majorBidi" w:hAnsiTheme="majorBidi" w:cstheme="majorBidi"/>
          <w:noProof/>
          <w:szCs w:val="24"/>
          <w:lang w:bidi="he-IL"/>
        </w:rPr>
        <w:lastRenderedPageBreak/>
        <w:drawing>
          <wp:inline distT="0" distB="0" distL="0" distR="0" wp14:anchorId="031149F5" wp14:editId="494EF879">
            <wp:extent cx="2703444" cy="2703444"/>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1258" cy="2701258"/>
                    </a:xfrm>
                    <a:prstGeom prst="rect">
                      <a:avLst/>
                    </a:prstGeom>
                    <a:noFill/>
                    <a:ln>
                      <a:noFill/>
                    </a:ln>
                  </pic:spPr>
                </pic:pic>
              </a:graphicData>
            </a:graphic>
          </wp:inline>
        </w:drawing>
      </w:r>
    </w:p>
    <w:p w14:paraId="1C900461" w14:textId="02E32AE4" w:rsidR="005A6555" w:rsidRDefault="000920C4" w:rsidP="005449AA">
      <w:pPr>
        <w:pStyle w:val="Caption"/>
        <w:jc w:val="left"/>
      </w:pPr>
      <w:bookmarkStart w:id="43" w:name="_Ref186986014"/>
      <w:r>
        <w:t xml:space="preserve">Figure </w:t>
      </w:r>
      <w:fldSimple w:instr=" SEQ Figure \* ARABIC ">
        <w:r w:rsidR="00E57C6B">
          <w:rPr>
            <w:noProof/>
          </w:rPr>
          <w:t>6</w:t>
        </w:r>
      </w:fldSimple>
      <w:bookmarkEnd w:id="43"/>
      <w:r>
        <w:t xml:space="preserve"> Ideal location of Photon Calibrator beams on ETM surface (111.6 mm from center along vertical diameter).</w:t>
      </w:r>
    </w:p>
    <w:p w14:paraId="395EC849" w14:textId="4B0BB3BF" w:rsidR="00C9300B" w:rsidRDefault="00C9300B" w:rsidP="005449AA">
      <w:pPr>
        <w:jc w:val="left"/>
      </w:pPr>
      <w:r>
        <w:t>Optimally-located beams in 3-beam or 4-beam configurations can minimize excitation of the butterfly-pattern deformation as well.  However, beam positioning constraints imposed by the folded Arm Cavity Baffles that are part of the Stray Light Control subsystem make the 3-beam and 4-beam configuration impractical. Furthermore, the FEM results showed that unless the beam locations on the ETM surface can be maintained within 1 mm of their optimal locations the 3-beam and 4-beam configurations are no better than the 2-beam configuration.</w:t>
      </w:r>
    </w:p>
    <w:p w14:paraId="26E5704F" w14:textId="361A6B0B" w:rsidR="0039566A" w:rsidRDefault="005F751F" w:rsidP="005449AA">
      <w:pPr>
        <w:jc w:val="left"/>
      </w:pPr>
      <w:r>
        <w:fldChar w:fldCharType="begin"/>
      </w:r>
      <w:r>
        <w:instrText xml:space="preserve"> REF _Ref311727286 \h </w:instrText>
      </w:r>
      <w:r>
        <w:fldChar w:fldCharType="separate"/>
      </w:r>
      <w:r w:rsidR="00E57C6B">
        <w:t xml:space="preserve">Figure </w:t>
      </w:r>
      <w:r w:rsidR="00E57C6B">
        <w:rPr>
          <w:noProof/>
        </w:rPr>
        <w:t>7</w:t>
      </w:r>
      <w:r>
        <w:fldChar w:fldCharType="end"/>
      </w:r>
      <w:r w:rsidR="0039566A">
        <w:t xml:space="preserve"> </w:t>
      </w:r>
      <w:r>
        <w:t>shows</w:t>
      </w:r>
      <w:r w:rsidR="0039566A">
        <w:t xml:space="preserve"> the </w:t>
      </w:r>
      <w:r w:rsidR="00C9300B">
        <w:t xml:space="preserve">predicted calibration </w:t>
      </w:r>
      <w:r w:rsidR="0039566A">
        <w:t xml:space="preserve">errors </w:t>
      </w:r>
      <w:r w:rsidR="00C9300B">
        <w:t>as a function of the displacement of the Pcal beam spots from their optimum locations in a 2-beam configuration.</w:t>
      </w:r>
    </w:p>
    <w:p w14:paraId="740A99BC" w14:textId="77777777" w:rsidR="00CC047D" w:rsidRDefault="00CC047D" w:rsidP="005449AA">
      <w:pPr>
        <w:keepNext/>
        <w:jc w:val="left"/>
      </w:pPr>
      <w:r>
        <w:rPr>
          <w:noProof/>
          <w:lang w:bidi="he-IL"/>
        </w:rPr>
        <w:lastRenderedPageBreak/>
        <w:drawing>
          <wp:inline distT="0" distB="0" distL="0" distR="0" wp14:anchorId="6BE43608" wp14:editId="17AE6ED4">
            <wp:extent cx="4229100" cy="3151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l="4383" t="8976" r="6550" b="2506"/>
                    <a:stretch/>
                  </pic:blipFill>
                  <pic:spPr bwMode="auto">
                    <a:xfrm>
                      <a:off x="0" y="0"/>
                      <a:ext cx="4236318" cy="3156764"/>
                    </a:xfrm>
                    <a:prstGeom prst="rect">
                      <a:avLst/>
                    </a:prstGeom>
                    <a:noFill/>
                    <a:ln>
                      <a:noFill/>
                    </a:ln>
                    <a:extLst>
                      <a:ext uri="{53640926-AAD7-44D8-BBD7-CCE9431645EC}">
                        <a14:shadowObscured xmlns:a14="http://schemas.microsoft.com/office/drawing/2010/main"/>
                      </a:ext>
                    </a:extLst>
                  </pic:spPr>
                </pic:pic>
              </a:graphicData>
            </a:graphic>
          </wp:inline>
        </w:drawing>
      </w:r>
    </w:p>
    <w:p w14:paraId="71738771" w14:textId="3A66FE68" w:rsidR="00CC047D" w:rsidRDefault="00CC047D" w:rsidP="005449AA">
      <w:pPr>
        <w:pStyle w:val="Caption"/>
        <w:jc w:val="left"/>
      </w:pPr>
      <w:bookmarkStart w:id="44" w:name="_Ref311727286"/>
      <w:r>
        <w:t xml:space="preserve">Figure </w:t>
      </w:r>
      <w:fldSimple w:instr=" SEQ Figure \* ARABIC ">
        <w:r w:rsidR="00E57C6B">
          <w:rPr>
            <w:noProof/>
          </w:rPr>
          <w:t>7</w:t>
        </w:r>
      </w:fldSimple>
      <w:bookmarkEnd w:id="44"/>
      <w:r>
        <w:t xml:space="preserve"> – Error</w:t>
      </w:r>
      <w:r w:rsidR="005F751F">
        <w:t xml:space="preserve">s due to </w:t>
      </w:r>
      <w:r w:rsidR="00C9300B">
        <w:t xml:space="preserve">bulk </w:t>
      </w:r>
      <w:r w:rsidR="005F751F">
        <w:t xml:space="preserve">elastic deformation </w:t>
      </w:r>
      <w:r w:rsidR="00C9300B">
        <w:t xml:space="preserve">resulting </w:t>
      </w:r>
      <w:r w:rsidR="005F751F">
        <w:t xml:space="preserve">from </w:t>
      </w:r>
      <w:r w:rsidR="00C9300B">
        <w:t>Pcal beam spots offset from their optimal locations in the 2-beam configuration.</w:t>
      </w:r>
    </w:p>
    <w:p w14:paraId="3979A20C" w14:textId="4CF10D45" w:rsidR="0039566A" w:rsidRDefault="000564F0" w:rsidP="005449AA">
      <w:pPr>
        <w:jc w:val="left"/>
      </w:pPr>
      <w:r>
        <w:t>If the beam positions are</w:t>
      </w:r>
      <w:r w:rsidR="0039566A">
        <w:t xml:space="preserve"> he</w:t>
      </w:r>
      <w:r>
        <w:t>ld within 1 mm of the ideal locations, the calibration errors remain below ±1% for frequencies up to</w:t>
      </w:r>
      <w:r w:rsidR="0039566A">
        <w:t xml:space="preserve"> 3.5 kHz.</w:t>
      </w:r>
      <w:r>
        <w:t xml:space="preserve">  For beam offsets up to</w:t>
      </w:r>
      <w:r w:rsidR="0039566A">
        <w:t xml:space="preserve"> 3 mm, the calibration error</w:t>
      </w:r>
      <w:r>
        <w:t>s are below ±1% up to</w:t>
      </w:r>
      <w:r w:rsidR="0039566A">
        <w:t xml:space="preserve"> 2 kHz.</w:t>
      </w:r>
      <w:r>
        <w:t xml:space="preserve">  Even for optimally-located beam spots, the calibration error reaches 1% at about 4.3 kH</w:t>
      </w:r>
      <w:r w:rsidR="0016183D">
        <w:t>z</w:t>
      </w:r>
      <w:r>
        <w:t xml:space="preserve"> due to excitation of the butterfly-pattern deformation in the 2-beam Pcal configuration.</w:t>
      </w:r>
    </w:p>
    <w:p w14:paraId="72A39976" w14:textId="6ED66457" w:rsidR="0024563D" w:rsidRPr="0024563D" w:rsidRDefault="0024563D" w:rsidP="005449AA">
      <w:pPr>
        <w:pStyle w:val="Heading2"/>
        <w:jc w:val="left"/>
      </w:pPr>
      <w:bookmarkStart w:id="45" w:name="_Toc321729347"/>
      <w:r>
        <w:t>Precision of Induced Displacements: Laser Power</w:t>
      </w:r>
      <w:bookmarkEnd w:id="45"/>
    </w:p>
    <w:p w14:paraId="71BAB2A0" w14:textId="1D235135" w:rsidR="003666F1" w:rsidRDefault="000564F0" w:rsidP="005449AA">
      <w:pPr>
        <w:jc w:val="left"/>
      </w:pPr>
      <w:r>
        <w:t>As shown in</w:t>
      </w:r>
      <w:r w:rsidR="00F06C4B">
        <w:t xml:space="preserve"> Equation </w:t>
      </w:r>
      <w:r w:rsidR="00F06C4B">
        <w:fldChar w:fldCharType="begin"/>
      </w:r>
      <w:r w:rsidR="00F06C4B">
        <w:instrText xml:space="preserve"> REF _Ref309216842 \h </w:instrText>
      </w:r>
      <w:r w:rsidR="00F06C4B">
        <w:fldChar w:fldCharType="separate"/>
      </w:r>
      <w:r w:rsidR="00E57C6B">
        <w:t>(</w:t>
      </w:r>
      <w:r w:rsidR="00E57C6B">
        <w:rPr>
          <w:noProof/>
        </w:rPr>
        <w:t>1</w:t>
      </w:r>
      <w:r w:rsidR="00E57C6B">
        <w:t>)</w:t>
      </w:r>
      <w:r w:rsidR="00F06C4B">
        <w:fldChar w:fldCharType="end"/>
      </w:r>
      <w:r>
        <w:t>,</w:t>
      </w:r>
      <w:r w:rsidR="00F06C4B">
        <w:t xml:space="preserve"> </w:t>
      </w:r>
      <w:r>
        <w:t>the amplitude of the modulated ETM displacement induced by the Pcals is proportional to the amplitude of the laser power modulation.</w:t>
      </w:r>
      <w:r w:rsidR="008D383B">
        <w:t xml:space="preserve">  </w:t>
      </w:r>
      <w:r w:rsidR="003666F1">
        <w:t xml:space="preserve">The Pcals induce sinusoidally-modulated beam powers as shown in </w:t>
      </w:r>
      <w:r w:rsidR="003666F1">
        <w:fldChar w:fldCharType="begin"/>
      </w:r>
      <w:r w:rsidR="003666F1">
        <w:instrText xml:space="preserve"> REF _Ref311466609 \h </w:instrText>
      </w:r>
      <w:r w:rsidR="003666F1">
        <w:fldChar w:fldCharType="separate"/>
      </w:r>
      <w:r w:rsidR="00E57C6B">
        <w:t xml:space="preserve">Figure </w:t>
      </w:r>
      <w:r w:rsidR="00E57C6B">
        <w:rPr>
          <w:noProof/>
        </w:rPr>
        <w:t>8</w:t>
      </w:r>
      <w:r w:rsidR="003666F1">
        <w:fldChar w:fldCharType="end"/>
      </w:r>
      <w:r w:rsidR="003666F1">
        <w:t>. A conservative estimate of the amplitude (peak) of the power modulation is ¼ of the raw laser power, i.e. the peak-to-peak power modulation is half of the raw laser power.</w:t>
      </w:r>
      <w:r w:rsidR="002C688C">
        <w:t xml:space="preserve">  There is also an efficienc</w:t>
      </w:r>
      <w:r w:rsidR="009023CA">
        <w:t xml:space="preserve">y factor, </w:t>
      </w:r>
      <w:proofErr w:type="gramStart"/>
      <w:r w:rsidR="009023CA">
        <w:rPr>
          <w:i/>
        </w:rPr>
        <w:t>ϵ</w:t>
      </w:r>
      <w:r w:rsidR="009023CA">
        <w:t xml:space="preserve"> ,</w:t>
      </w:r>
      <w:proofErr w:type="gramEnd"/>
      <w:r w:rsidR="009023CA">
        <w:t xml:space="preserve"> the Pcal transmitter module optical efficiency in delivering modulated laser power to the ETM.  This includes the AOM diffraction efficiency of about 80% and the optical efficiency of the transmitter module optical components (polarizing beam splitter, mirrors, lenses, </w:t>
      </w:r>
      <w:proofErr w:type="gramStart"/>
      <w:r w:rsidR="009023CA">
        <w:t>viewports</w:t>
      </w:r>
      <w:proofErr w:type="gramEnd"/>
      <w:r w:rsidR="009023CA">
        <w:t>), conservatively about 80%.</w:t>
      </w:r>
    </w:p>
    <w:p w14:paraId="603183E4" w14:textId="77777777" w:rsidR="003666F1" w:rsidRDefault="003666F1" w:rsidP="005449AA">
      <w:pPr>
        <w:jc w:val="left"/>
      </w:pPr>
    </w:p>
    <w:p w14:paraId="1CD607F2" w14:textId="77777777" w:rsidR="00F06C4B" w:rsidRDefault="00F06C4B" w:rsidP="005449AA">
      <w:pPr>
        <w:keepNext/>
        <w:jc w:val="left"/>
      </w:pPr>
      <w:r>
        <w:rPr>
          <w:noProof/>
          <w:lang w:bidi="he-IL"/>
        </w:rPr>
        <w:lastRenderedPageBreak/>
        <w:drawing>
          <wp:inline distT="0" distB="0" distL="0" distR="0" wp14:anchorId="51470015" wp14:editId="0AA436DE">
            <wp:extent cx="3722914" cy="30499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28048" cy="3054132"/>
                    </a:xfrm>
                    <a:prstGeom prst="rect">
                      <a:avLst/>
                    </a:prstGeom>
                  </pic:spPr>
                </pic:pic>
              </a:graphicData>
            </a:graphic>
          </wp:inline>
        </w:drawing>
      </w:r>
    </w:p>
    <w:p w14:paraId="59FB9EC9" w14:textId="5DA0827C" w:rsidR="00F06C4B" w:rsidRDefault="00F06C4B" w:rsidP="005449AA">
      <w:pPr>
        <w:pStyle w:val="Caption"/>
        <w:jc w:val="left"/>
      </w:pPr>
      <w:bookmarkStart w:id="46" w:name="_Ref311466609"/>
      <w:bookmarkStart w:id="47" w:name="_Toc311535630"/>
      <w:r>
        <w:t xml:space="preserve">Figure </w:t>
      </w:r>
      <w:fldSimple w:instr=" SEQ Figure \* ARABIC ">
        <w:r w:rsidR="00E57C6B">
          <w:rPr>
            <w:noProof/>
          </w:rPr>
          <w:t>8</w:t>
        </w:r>
      </w:fldSimple>
      <w:bookmarkEnd w:id="46"/>
      <w:r>
        <w:t xml:space="preserve"> – Pcal </w:t>
      </w:r>
      <w:r w:rsidR="003666F1">
        <w:t>power modulation as a fraction of raw laser power for 50% p-p modulation</w:t>
      </w:r>
      <w:r>
        <w:t>.</w:t>
      </w:r>
      <w:bookmarkEnd w:id="47"/>
    </w:p>
    <w:p w14:paraId="3B245FF2" w14:textId="77777777" w:rsidR="00386C68" w:rsidRDefault="00386C68" w:rsidP="005449AA">
      <w:pPr>
        <w:jc w:val="left"/>
      </w:pPr>
    </w:p>
    <w:p w14:paraId="2A6C85F4" w14:textId="55A879BA" w:rsidR="00F06C4B" w:rsidRDefault="0017671C" w:rsidP="005449AA">
      <w:pPr>
        <w:jc w:val="left"/>
      </w:pPr>
      <w:r>
        <w:t xml:space="preserve">Using Equation </w:t>
      </w:r>
      <w:r>
        <w:fldChar w:fldCharType="begin"/>
      </w:r>
      <w:r>
        <w:instrText xml:space="preserve"> REF _Ref309216842 \h </w:instrText>
      </w:r>
      <w:r>
        <w:fldChar w:fldCharType="separate"/>
      </w:r>
      <w:r w:rsidR="00E57C6B">
        <w:t>(</w:t>
      </w:r>
      <w:r w:rsidR="00E57C6B">
        <w:rPr>
          <w:noProof/>
        </w:rPr>
        <w:t>1</w:t>
      </w:r>
      <w:r w:rsidR="00E57C6B">
        <w:t>)</w:t>
      </w:r>
      <w:r>
        <w:fldChar w:fldCharType="end"/>
      </w:r>
      <w:r>
        <w:t>, the</w:t>
      </w:r>
      <w:r w:rsidR="00386C68">
        <w:t xml:space="preserve"> </w:t>
      </w:r>
      <w:r w:rsidR="009023CA">
        <w:t xml:space="preserve">total </w:t>
      </w:r>
      <w:r w:rsidR="00386C68">
        <w:t>amount of raw Pcal laser power</w:t>
      </w:r>
      <w:r>
        <w:t xml:space="preserve"> required, </w:t>
      </w:r>
      <w:proofErr w:type="spellStart"/>
      <w:r>
        <w:t>P</w:t>
      </w:r>
      <w:r>
        <w:rPr>
          <w:vertAlign w:val="subscript"/>
        </w:rPr>
        <w:t>laser</w:t>
      </w:r>
      <w:proofErr w:type="spellEnd"/>
      <w:r w:rsidR="009023CA">
        <w:t>,</w:t>
      </w:r>
      <w:r w:rsidR="00386C68">
        <w:t xml:space="preserve"> is </w:t>
      </w:r>
      <w:r>
        <w:t>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F06C4B" w14:paraId="2F069D56" w14:textId="77777777" w:rsidTr="00F06C4B">
        <w:trPr>
          <w:jc w:val="center"/>
        </w:trPr>
        <w:tc>
          <w:tcPr>
            <w:tcW w:w="750" w:type="pct"/>
            <w:vAlign w:val="center"/>
          </w:tcPr>
          <w:p w14:paraId="205BA467" w14:textId="77777777" w:rsidR="00F06C4B" w:rsidRDefault="00F06C4B" w:rsidP="005449AA">
            <w:pPr>
              <w:jc w:val="left"/>
            </w:pPr>
          </w:p>
        </w:tc>
        <w:tc>
          <w:tcPr>
            <w:tcW w:w="3500" w:type="pct"/>
          </w:tcPr>
          <w:p w14:paraId="12522920" w14:textId="1BE86D8D" w:rsidR="0017671C" w:rsidRPr="00437EF0" w:rsidRDefault="00E57C6B" w:rsidP="005449AA">
            <w:pPr>
              <w:jc w:val="left"/>
            </w:pPr>
            <m:oMathPara>
              <m:oMath>
                <m:sSub>
                  <m:sSubPr>
                    <m:ctrlPr>
                      <w:rPr>
                        <w:rFonts w:ascii="Cambria Math" w:hAnsi="Cambria Math"/>
                        <w:i/>
                      </w:rPr>
                    </m:ctrlPr>
                  </m:sSubPr>
                  <m:e>
                    <m:r>
                      <w:rPr>
                        <w:rFonts w:ascii="Cambria Math" w:hAnsi="Cambria Math"/>
                      </w:rPr>
                      <m:t>P</m:t>
                    </m:r>
                  </m:e>
                  <m:sub>
                    <m:r>
                      <w:rPr>
                        <w:rFonts w:ascii="Cambria Math" w:hAnsi="Cambria Math"/>
                      </w:rPr>
                      <m:t>laser</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rad>
                      <m:radPr>
                        <m:degHide m:val="1"/>
                        <m:ctrlPr>
                          <w:rPr>
                            <w:rFonts w:ascii="Cambria Math" w:hAnsi="Cambria Math"/>
                            <w:i/>
                          </w:rPr>
                        </m:ctrlPr>
                      </m:radPr>
                      <m:deg/>
                      <m:e>
                        <m:r>
                          <w:rPr>
                            <w:rFonts w:ascii="Cambria Math" w:hAnsi="Cambria Math"/>
                          </w:rPr>
                          <m:t>2</m:t>
                        </m:r>
                      </m:e>
                    </m:rad>
                    <m:r>
                      <w:rPr>
                        <w:rFonts w:ascii="Cambria Math" w:hAnsi="Cambria Math"/>
                      </w:rPr>
                      <m:t>Lh</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f>
                      <m:fPr>
                        <m:ctrlPr>
                          <w:rPr>
                            <w:rFonts w:ascii="Cambria Math" w:hAnsi="Cambria Math"/>
                            <w:i/>
                          </w:rPr>
                        </m:ctrlPr>
                      </m:fPr>
                      <m:num>
                        <m:r>
                          <w:rPr>
                            <w:rFonts w:ascii="Cambria Math" w:hAnsi="Cambria Math"/>
                          </w:rPr>
                          <m:t>1</m:t>
                        </m:r>
                      </m:num>
                      <m:den>
                        <m:r>
                          <w:rPr>
                            <w:rFonts w:ascii="Cambria Math" w:hAnsi="Cambria Math"/>
                          </w:rPr>
                          <m:t>4ϵ</m:t>
                        </m:r>
                      </m:den>
                    </m:f>
                    <m:f>
                      <m:fPr>
                        <m:ctrlPr>
                          <w:rPr>
                            <w:rFonts w:ascii="Cambria Math" w:hAnsi="Cambria Math"/>
                            <w:i/>
                          </w:rPr>
                        </m:ctrlPr>
                      </m:fPr>
                      <m:num>
                        <m:r>
                          <w:rPr>
                            <w:rFonts w:ascii="Cambria Math" w:hAnsi="Cambria Math"/>
                          </w:rPr>
                          <m:t>SNR</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T</m:t>
                                </m:r>
                              </m:e>
                              <m:sub>
                                <m:r>
                                  <w:rPr>
                                    <w:rFonts w:ascii="Cambria Math" w:hAnsi="Cambria Math"/>
                                  </w:rPr>
                                  <m:t>i</m:t>
                                </m:r>
                              </m:sub>
                            </m:sSub>
                          </m:e>
                        </m:rad>
                      </m:den>
                    </m:f>
                  </m:e>
                </m:nary>
                <m:f>
                  <m:fPr>
                    <m:ctrlPr>
                      <w:rPr>
                        <w:rFonts w:ascii="Cambria Math" w:hAnsi="Cambria Math"/>
                        <w:i/>
                      </w:rPr>
                    </m:ctrlPr>
                  </m:fPr>
                  <m:num>
                    <m:r>
                      <w:rPr>
                        <w:rFonts w:ascii="Cambria Math" w:hAnsi="Cambria Math"/>
                      </w:rPr>
                      <m:t>Mc</m:t>
                    </m:r>
                    <m:sSup>
                      <m:sSupPr>
                        <m:ctrlPr>
                          <w:rPr>
                            <w:rFonts w:ascii="Cambria Math" w:hAnsi="Cambria Math"/>
                            <w:i/>
                          </w:rPr>
                        </m:ctrlPr>
                      </m:sSupPr>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i</m:t>
                                </m:r>
                              </m:sub>
                            </m:sSub>
                          </m:e>
                        </m:d>
                      </m:e>
                      <m:sup>
                        <m:r>
                          <w:rPr>
                            <w:rFonts w:ascii="Cambria Math" w:hAnsi="Cambria Math"/>
                          </w:rPr>
                          <m:t>2</m:t>
                        </m:r>
                      </m:sup>
                    </m:sSup>
                  </m:num>
                  <m:den>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oMath>
            </m:oMathPara>
          </w:p>
        </w:tc>
        <w:tc>
          <w:tcPr>
            <w:tcW w:w="750" w:type="pct"/>
            <w:vAlign w:val="center"/>
          </w:tcPr>
          <w:p w14:paraId="75007E9F" w14:textId="77777777" w:rsidR="00F06C4B" w:rsidRDefault="00F06C4B" w:rsidP="005449AA">
            <w:pPr>
              <w:jc w:val="left"/>
            </w:pPr>
            <w:bookmarkStart w:id="48" w:name="_Ref311470441"/>
            <w:r>
              <w:t>(</w:t>
            </w:r>
            <w:fldSimple w:instr=" SEQ Equation \* ARABIC ">
              <w:r w:rsidR="00E57C6B">
                <w:rPr>
                  <w:noProof/>
                </w:rPr>
                <w:t>3</w:t>
              </w:r>
            </w:fldSimple>
            <w:r>
              <w:t>)</w:t>
            </w:r>
            <w:bookmarkEnd w:id="48"/>
          </w:p>
        </w:tc>
      </w:tr>
    </w:tbl>
    <w:p w14:paraId="0BB46477" w14:textId="67A682D6" w:rsidR="0017671C" w:rsidRPr="00CF40A4" w:rsidRDefault="0017671C" w:rsidP="005449AA">
      <w:pPr>
        <w:jc w:val="left"/>
      </w:pPr>
      <w:r>
        <w:t>where</w:t>
      </w:r>
      <w:r w:rsidR="00CF40A4">
        <w:t xml:space="preserve"> the</w:t>
      </w:r>
      <w:r>
        <w:t xml:space="preserve"> sum </w:t>
      </w:r>
      <w:r w:rsidR="00CF40A4">
        <w:t xml:space="preserve">is </w:t>
      </w:r>
      <w:r>
        <w:t xml:space="preserve">over the individual modulated displacements with index </w:t>
      </w:r>
      <w:proofErr w:type="spellStart"/>
      <w:r>
        <w:rPr>
          <w:i/>
        </w:rPr>
        <w:t>i</w:t>
      </w:r>
      <w:proofErr w:type="spellEnd"/>
      <w:r>
        <w:t xml:space="preserve"> and frequency </w:t>
      </w:r>
      <w:r>
        <w:rPr>
          <w:i/>
        </w:rPr>
        <w:t>f</w:t>
      </w:r>
      <w:r>
        <w:rPr>
          <w:i/>
          <w:vertAlign w:val="subscript"/>
        </w:rPr>
        <w:t>i</w:t>
      </w:r>
      <w:r w:rsidR="009023CA">
        <w:t xml:space="preserve">,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oMath>
      <w:r w:rsidR="009023CA">
        <w:t xml:space="preserve"> the is interferometer sensitivity estimate in units of strain (rms) per </w:t>
      </w:r>
      <m:oMath>
        <m:rad>
          <m:radPr>
            <m:degHide m:val="1"/>
            <m:ctrlPr>
              <w:rPr>
                <w:rFonts w:ascii="Cambria Math" w:hAnsi="Cambria Math"/>
                <w:i/>
              </w:rPr>
            </m:ctrlPr>
          </m:radPr>
          <m:deg/>
          <m:e>
            <m:r>
              <w:rPr>
                <w:rFonts w:ascii="Cambria Math" w:hAnsi="Cambria Math"/>
              </w:rPr>
              <m:t>Hz</m:t>
            </m:r>
          </m:e>
        </m:rad>
      </m:oMath>
      <w:r w:rsidR="009023CA">
        <w:t xml:space="preserve"> (we use the “z</w:t>
      </w:r>
      <w:proofErr w:type="spellStart"/>
      <w:r w:rsidR="0016183D">
        <w:t>ero</w:t>
      </w:r>
      <w:proofErr w:type="spellEnd"/>
      <w:r w:rsidR="0016183D">
        <w:t>-detuning, high power” and “no SRM” curves</w:t>
      </w:r>
      <w:r w:rsidR="009023CA">
        <w:t xml:space="preserve"> published in </w:t>
      </w:r>
      <w:hyperlink r:id="rId46" w:history="1">
        <w:r w:rsidR="009023CA" w:rsidRPr="00AB1C48">
          <w:rPr>
            <w:rStyle w:val="Hyperlink"/>
          </w:rPr>
          <w:t>LIGO-T0900288</w:t>
        </w:r>
      </w:hyperlink>
      <w:r w:rsidR="0016183D">
        <w:t>),</w:t>
      </w:r>
      <w:r w:rsidR="009023CA">
        <w:t xml:space="preserve"> the factor of  </w:t>
      </w:r>
      <m:oMath>
        <m:rad>
          <m:radPr>
            <m:degHide m:val="1"/>
            <m:ctrlPr>
              <w:rPr>
                <w:rFonts w:ascii="Cambria Math" w:hAnsi="Cambria Math"/>
                <w:i/>
              </w:rPr>
            </m:ctrlPr>
          </m:radPr>
          <m:deg/>
          <m:e>
            <m:r>
              <w:rPr>
                <w:rFonts w:ascii="Cambria Math" w:hAnsi="Cambria Math"/>
              </w:rPr>
              <m:t>2</m:t>
            </m:r>
          </m:e>
        </m:rad>
      </m:oMath>
      <w:r w:rsidR="009023CA">
        <w:t xml:space="preserve"> converts the rms strain to peak strain, </w:t>
      </w:r>
      <m:oMath>
        <m:r>
          <w:rPr>
            <w:rFonts w:ascii="Cambria Math" w:hAnsi="Cambria Math"/>
          </w:rPr>
          <m:t>L</m:t>
        </m:r>
      </m:oMath>
      <w:r w:rsidR="009023CA">
        <w:t xml:space="preserve"> is the length of the interferometer arms, the fa</w:t>
      </w:r>
      <w:proofErr w:type="spellStart"/>
      <w:r w:rsidR="009023CA">
        <w:t>ctor</w:t>
      </w:r>
      <w:proofErr w:type="spellEnd"/>
      <w:r w:rsidR="009023CA">
        <w:t xml:space="preserve"> of ¼ is for 50% p-p modulation as discussed above, </w:t>
      </w:r>
      <m:oMath>
        <m:r>
          <w:rPr>
            <w:rFonts w:ascii="Cambria Math" w:hAnsi="Cambria Math"/>
          </w:rPr>
          <m:t>ϵ</m:t>
        </m:r>
      </m:oMath>
      <w:r w:rsidR="009023CA">
        <w:t xml:space="preserve">  is the transmitter module optical efficiency, </w:t>
      </w:r>
      <m:oMath>
        <m:r>
          <w:rPr>
            <w:rFonts w:ascii="Cambria Math" w:hAnsi="Cambria Math"/>
          </w:rPr>
          <m:t>SNR</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m:t>
                </m:r>
              </m:sub>
            </m:sSub>
          </m:e>
        </m:d>
      </m:oMath>
      <w:r>
        <w:rPr>
          <w:iCs/>
        </w:rPr>
        <w:t xml:space="preserve"> is the </w:t>
      </w:r>
      <w:r>
        <w:t>desired signal-to-noise ratio of a given reference displacement</w:t>
      </w:r>
      <w:r w:rsidR="009023CA">
        <w:t>, and T</w:t>
      </w:r>
      <w:r w:rsidR="009023CA">
        <w:rPr>
          <w:vertAlign w:val="subscript"/>
        </w:rPr>
        <w:t>i</w:t>
      </w:r>
      <w:r w:rsidR="009023CA">
        <w:t xml:space="preserve"> </w:t>
      </w:r>
      <w:r w:rsidR="00CF40A4">
        <w:t>is the length of the DFT for evaluation of a given periodic displacement</w:t>
      </w:r>
      <w:r w:rsidR="009023CA">
        <w:t>.</w:t>
      </w:r>
    </w:p>
    <w:p w14:paraId="2BCEC496" w14:textId="33EE68F1" w:rsidR="00F06C4B" w:rsidRPr="002A139C" w:rsidRDefault="00F06C4B" w:rsidP="005449AA">
      <w:pPr>
        <w:jc w:val="left"/>
      </w:pPr>
      <w:r>
        <w:t xml:space="preserve">The </w:t>
      </w:r>
      <w:r w:rsidR="00CF40A4">
        <w:t>raw Pcal laser power required for the various reference displacements, given by</w:t>
      </w:r>
      <w:r>
        <w:t xml:space="preserve"> Equation </w:t>
      </w:r>
      <w:r w:rsidRPr="002A139C">
        <w:fldChar w:fldCharType="begin"/>
      </w:r>
      <w:r w:rsidRPr="002A139C">
        <w:instrText xml:space="preserve"> REF _Ref311470441 \h  \* MERGEFORMAT </w:instrText>
      </w:r>
      <w:r w:rsidRPr="002A139C">
        <w:fldChar w:fldCharType="separate"/>
      </w:r>
      <w:r w:rsidR="00E57C6B">
        <w:t>(</w:t>
      </w:r>
      <w:r w:rsidR="00E57C6B">
        <w:rPr>
          <w:noProof/>
        </w:rPr>
        <w:t>3</w:t>
      </w:r>
      <w:r w:rsidR="00E57C6B">
        <w:t>)</w:t>
      </w:r>
      <w:r w:rsidRPr="002A139C">
        <w:fldChar w:fldCharType="end"/>
      </w:r>
      <w:r w:rsidR="00CF40A4">
        <w:t xml:space="preserve">, </w:t>
      </w:r>
      <w:r>
        <w:t xml:space="preserve">are listed </w:t>
      </w:r>
      <w:r w:rsidRPr="002A139C">
        <w:t xml:space="preserve">in </w:t>
      </w:r>
      <w:r w:rsidRPr="002A139C">
        <w:fldChar w:fldCharType="begin"/>
      </w:r>
      <w:r w:rsidRPr="002A139C">
        <w:instrText xml:space="preserve"> REF _Ref311470464 \h  \* MERGEFORMAT </w:instrText>
      </w:r>
      <w:r w:rsidRPr="002A139C">
        <w:fldChar w:fldCharType="separate"/>
      </w:r>
      <w:r w:rsidR="00E57C6B">
        <w:t xml:space="preserve">Table </w:t>
      </w:r>
      <w:r w:rsidR="00E57C6B">
        <w:rPr>
          <w:noProof/>
        </w:rPr>
        <w:t>1</w:t>
      </w:r>
      <w:r w:rsidRPr="002A139C">
        <w:fldChar w:fldCharType="end"/>
      </w:r>
      <w:r>
        <w:t xml:space="preserve"> in the “Pcal Laser Power” columns</w:t>
      </w:r>
      <w:r w:rsidR="002C688C">
        <w:t xml:space="preserve"> and shown graphically in </w:t>
      </w:r>
      <w:r w:rsidR="002C688C">
        <w:fldChar w:fldCharType="begin"/>
      </w:r>
      <w:r w:rsidR="002C688C">
        <w:instrText xml:space="preserve"> REF _Ref301951016 \h </w:instrText>
      </w:r>
      <w:r w:rsidR="002C688C">
        <w:fldChar w:fldCharType="separate"/>
      </w:r>
      <w:r w:rsidR="00E57C6B">
        <w:t xml:space="preserve">Figure </w:t>
      </w:r>
      <w:r w:rsidR="00E57C6B">
        <w:rPr>
          <w:noProof/>
        </w:rPr>
        <w:t>9</w:t>
      </w:r>
      <w:r w:rsidR="002C688C">
        <w:fldChar w:fldCharType="end"/>
      </w:r>
      <w:r>
        <w:t>. The table also in</w:t>
      </w:r>
      <w:r w:rsidR="00CF40A4">
        <w:t>cludes the amplitudes</w:t>
      </w:r>
      <w:r>
        <w:t xml:space="preserve"> of the reference displacements. </w:t>
      </w:r>
    </w:p>
    <w:p w14:paraId="365867E3" w14:textId="5C0FC527" w:rsidR="00F06C4B" w:rsidRDefault="00F06C4B" w:rsidP="005449AA">
      <w:pPr>
        <w:pStyle w:val="Caption"/>
        <w:keepNext/>
        <w:jc w:val="left"/>
      </w:pPr>
      <w:bookmarkStart w:id="49" w:name="_Ref311470464"/>
      <w:r>
        <w:t xml:space="preserve">Table </w:t>
      </w:r>
      <w:fldSimple w:instr=" SEQ Table \* ARABIC ">
        <w:r w:rsidR="00E57C6B">
          <w:rPr>
            <w:noProof/>
          </w:rPr>
          <w:t>1</w:t>
        </w:r>
      </w:fldSimple>
      <w:bookmarkEnd w:id="49"/>
      <w:r w:rsidR="00CF40A4">
        <w:t xml:space="preserve"> – Raw laser power r</w:t>
      </w:r>
      <w:r w:rsidR="0016183D">
        <w:t>equirements for Pcal reference d</w:t>
      </w:r>
      <w:r>
        <w:t>isplacements</w:t>
      </w:r>
      <w:r>
        <w:rPr>
          <w:rStyle w:val="FootnoteReference"/>
        </w:rPr>
        <w:footnoteReference w:id="3"/>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97"/>
        <w:gridCol w:w="1215"/>
        <w:gridCol w:w="702"/>
        <w:gridCol w:w="2199"/>
        <w:gridCol w:w="1526"/>
        <w:gridCol w:w="1577"/>
        <w:gridCol w:w="1290"/>
      </w:tblGrid>
      <w:tr w:rsidR="00F06C4B" w14:paraId="14898852" w14:textId="77777777" w:rsidTr="00CF40A4">
        <w:trPr>
          <w:trHeight w:val="674"/>
        </w:trPr>
        <w:tc>
          <w:tcPr>
            <w:tcW w:w="3206" w:type="dxa"/>
            <w:gridSpan w:val="3"/>
            <w:shd w:val="clear" w:color="auto" w:fill="auto"/>
            <w:vAlign w:val="center"/>
          </w:tcPr>
          <w:p w14:paraId="78964E8C" w14:textId="77777777" w:rsidR="00F06C4B" w:rsidRDefault="00F06C4B" w:rsidP="005449AA">
            <w:pPr>
              <w:jc w:val="left"/>
              <w:rPr>
                <w:b/>
                <w:i/>
              </w:rPr>
            </w:pPr>
            <w:r>
              <w:rPr>
                <w:b/>
                <w:i/>
              </w:rPr>
              <w:t>aLIGO Sensitivity Curve →</w:t>
            </w:r>
          </w:p>
        </w:tc>
        <w:tc>
          <w:tcPr>
            <w:tcW w:w="3741" w:type="dxa"/>
            <w:gridSpan w:val="2"/>
            <w:vAlign w:val="center"/>
          </w:tcPr>
          <w:p w14:paraId="39503DF5" w14:textId="77777777" w:rsidR="00F06C4B" w:rsidRDefault="00F06C4B" w:rsidP="005449AA">
            <w:pPr>
              <w:jc w:val="left"/>
              <w:rPr>
                <w:b/>
                <w:i/>
              </w:rPr>
            </w:pPr>
            <w:r>
              <w:rPr>
                <w:b/>
                <w:i/>
              </w:rPr>
              <w:t>Zero-Detuning, High Power</w:t>
            </w:r>
          </w:p>
        </w:tc>
        <w:tc>
          <w:tcPr>
            <w:tcW w:w="2859" w:type="dxa"/>
            <w:gridSpan w:val="2"/>
            <w:vAlign w:val="center"/>
          </w:tcPr>
          <w:p w14:paraId="5665A576" w14:textId="77777777" w:rsidR="00F06C4B" w:rsidRDefault="00F06C4B" w:rsidP="005449AA">
            <w:pPr>
              <w:jc w:val="left"/>
              <w:rPr>
                <w:b/>
                <w:i/>
              </w:rPr>
            </w:pPr>
            <w:r>
              <w:rPr>
                <w:b/>
                <w:i/>
              </w:rPr>
              <w:t>No SRM (25W Power)</w:t>
            </w:r>
          </w:p>
        </w:tc>
      </w:tr>
      <w:tr w:rsidR="00F06C4B" w14:paraId="20E111D6" w14:textId="77777777" w:rsidTr="00CF40A4">
        <w:trPr>
          <w:trHeight w:val="674"/>
        </w:trPr>
        <w:tc>
          <w:tcPr>
            <w:tcW w:w="1285" w:type="dxa"/>
            <w:shd w:val="clear" w:color="auto" w:fill="auto"/>
            <w:vAlign w:val="center"/>
          </w:tcPr>
          <w:p w14:paraId="7B3F6D34" w14:textId="77777777" w:rsidR="00F06C4B" w:rsidRPr="0080063C" w:rsidRDefault="00F06C4B" w:rsidP="005449AA">
            <w:pPr>
              <w:jc w:val="left"/>
              <w:rPr>
                <w:b/>
                <w:i/>
              </w:rPr>
            </w:pPr>
            <w:r w:rsidRPr="0080063C">
              <w:rPr>
                <w:b/>
                <w:i/>
              </w:rPr>
              <w:lastRenderedPageBreak/>
              <w:t>Frequency</w:t>
            </w:r>
          </w:p>
        </w:tc>
        <w:tc>
          <w:tcPr>
            <w:tcW w:w="1219" w:type="dxa"/>
            <w:shd w:val="clear" w:color="auto" w:fill="auto"/>
            <w:vAlign w:val="center"/>
          </w:tcPr>
          <w:p w14:paraId="4B4D65AB" w14:textId="77777777" w:rsidR="00F06C4B" w:rsidRPr="0080063C" w:rsidRDefault="00F06C4B" w:rsidP="005449AA">
            <w:pPr>
              <w:jc w:val="left"/>
              <w:rPr>
                <w:b/>
                <w:i/>
              </w:rPr>
            </w:pPr>
            <w:r>
              <w:rPr>
                <w:b/>
                <w:i/>
              </w:rPr>
              <w:t xml:space="preserve">DFT </w:t>
            </w:r>
            <w:r w:rsidRPr="0080063C">
              <w:rPr>
                <w:b/>
                <w:i/>
              </w:rPr>
              <w:t>length</w:t>
            </w:r>
          </w:p>
        </w:tc>
        <w:tc>
          <w:tcPr>
            <w:tcW w:w="702" w:type="dxa"/>
            <w:vAlign w:val="center"/>
          </w:tcPr>
          <w:p w14:paraId="73421BAC" w14:textId="77777777" w:rsidR="00F06C4B" w:rsidRPr="0080063C" w:rsidRDefault="00F06C4B" w:rsidP="005449AA">
            <w:pPr>
              <w:jc w:val="left"/>
              <w:rPr>
                <w:b/>
                <w:i/>
              </w:rPr>
            </w:pPr>
            <w:r>
              <w:rPr>
                <w:b/>
                <w:i/>
              </w:rPr>
              <w:t>SNR</w:t>
            </w:r>
          </w:p>
        </w:tc>
        <w:tc>
          <w:tcPr>
            <w:tcW w:w="2207" w:type="dxa"/>
            <w:vAlign w:val="center"/>
          </w:tcPr>
          <w:p w14:paraId="4A2C8B6C" w14:textId="77777777" w:rsidR="00F06C4B" w:rsidRDefault="00F06C4B" w:rsidP="005449AA">
            <w:pPr>
              <w:jc w:val="left"/>
              <w:rPr>
                <w:b/>
                <w:i/>
              </w:rPr>
            </w:pPr>
            <w:r>
              <w:rPr>
                <w:b/>
                <w:i/>
              </w:rPr>
              <w:t>Displacement (</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meters</m:t>
                      </m:r>
                    </m:e>
                    <m:sub>
                      <m:r>
                        <m:rPr>
                          <m:sty m:val="bi"/>
                        </m:rPr>
                        <w:rPr>
                          <w:rFonts w:ascii="Cambria Math" w:hAnsi="Cambria Math"/>
                        </w:rPr>
                        <m:t>RMS</m:t>
                      </m:r>
                    </m:sub>
                  </m:sSub>
                </m:num>
                <m:den>
                  <m:rad>
                    <m:radPr>
                      <m:degHide m:val="1"/>
                      <m:ctrlPr>
                        <w:rPr>
                          <w:rFonts w:ascii="Cambria Math" w:hAnsi="Cambria Math"/>
                          <w:b/>
                          <w:i/>
                        </w:rPr>
                      </m:ctrlPr>
                    </m:radPr>
                    <m:deg/>
                    <m:e>
                      <m:r>
                        <m:rPr>
                          <m:sty m:val="bi"/>
                        </m:rPr>
                        <w:rPr>
                          <w:rFonts w:ascii="Cambria Math" w:hAnsi="Cambria Math"/>
                        </w:rPr>
                        <m:t>Hz</m:t>
                      </m:r>
                    </m:e>
                  </m:rad>
                </m:den>
              </m:f>
            </m:oMath>
            <w:r>
              <w:rPr>
                <w:b/>
                <w:i/>
              </w:rPr>
              <w:t>)</w:t>
            </w:r>
          </w:p>
        </w:tc>
        <w:tc>
          <w:tcPr>
            <w:tcW w:w="1534" w:type="dxa"/>
            <w:vAlign w:val="center"/>
          </w:tcPr>
          <w:p w14:paraId="29ED8454" w14:textId="77777777" w:rsidR="00F06C4B" w:rsidRDefault="00F06C4B" w:rsidP="005449AA">
            <w:pPr>
              <w:jc w:val="left"/>
              <w:rPr>
                <w:b/>
                <w:i/>
              </w:rPr>
            </w:pPr>
            <w:r>
              <w:rPr>
                <w:b/>
                <w:i/>
              </w:rPr>
              <w:t>Pcal Laser Power</w:t>
            </w:r>
          </w:p>
        </w:tc>
        <w:tc>
          <w:tcPr>
            <w:tcW w:w="1563" w:type="dxa"/>
          </w:tcPr>
          <w:p w14:paraId="17FA590B" w14:textId="77777777" w:rsidR="00F06C4B" w:rsidRDefault="00F06C4B" w:rsidP="005449AA">
            <w:pPr>
              <w:jc w:val="left"/>
              <w:rPr>
                <w:b/>
                <w:i/>
              </w:rPr>
            </w:pPr>
            <w:r>
              <w:rPr>
                <w:b/>
                <w:i/>
              </w:rPr>
              <w:t>Displacement</w:t>
            </w:r>
          </w:p>
        </w:tc>
        <w:tc>
          <w:tcPr>
            <w:tcW w:w="1296" w:type="dxa"/>
          </w:tcPr>
          <w:p w14:paraId="7A36BC41" w14:textId="77777777" w:rsidR="00F06C4B" w:rsidRDefault="00F06C4B" w:rsidP="005449AA">
            <w:pPr>
              <w:jc w:val="left"/>
              <w:rPr>
                <w:b/>
                <w:i/>
              </w:rPr>
            </w:pPr>
            <w:r>
              <w:rPr>
                <w:b/>
                <w:i/>
              </w:rPr>
              <w:t>Pcal Power</w:t>
            </w:r>
          </w:p>
        </w:tc>
      </w:tr>
      <w:tr w:rsidR="00F06C4B" w14:paraId="66C9CD87" w14:textId="77777777" w:rsidTr="00CF40A4">
        <w:tc>
          <w:tcPr>
            <w:tcW w:w="1285" w:type="dxa"/>
            <w:shd w:val="clear" w:color="auto" w:fill="auto"/>
          </w:tcPr>
          <w:p w14:paraId="7575FAC2" w14:textId="77777777" w:rsidR="00F06C4B" w:rsidRPr="0080063C" w:rsidRDefault="00F06C4B" w:rsidP="005449AA">
            <w:pPr>
              <w:jc w:val="left"/>
            </w:pPr>
            <w:r w:rsidRPr="0080063C">
              <w:t>50 Hz</w:t>
            </w:r>
          </w:p>
        </w:tc>
        <w:tc>
          <w:tcPr>
            <w:tcW w:w="1219" w:type="dxa"/>
            <w:shd w:val="clear" w:color="auto" w:fill="auto"/>
          </w:tcPr>
          <w:p w14:paraId="4A21D146" w14:textId="77777777" w:rsidR="00F06C4B" w:rsidRPr="0080063C" w:rsidRDefault="00F06C4B" w:rsidP="005449AA">
            <w:pPr>
              <w:jc w:val="left"/>
            </w:pPr>
            <w:r w:rsidRPr="0080063C">
              <w:t>1</w:t>
            </w:r>
            <w:r>
              <w:t xml:space="preserve"> </w:t>
            </w:r>
            <w:r w:rsidRPr="0080063C">
              <w:t>second</w:t>
            </w:r>
          </w:p>
        </w:tc>
        <w:tc>
          <w:tcPr>
            <w:tcW w:w="702" w:type="dxa"/>
          </w:tcPr>
          <w:p w14:paraId="0E663A62" w14:textId="77777777" w:rsidR="00F06C4B" w:rsidRPr="0080063C" w:rsidRDefault="00F06C4B" w:rsidP="005449AA">
            <w:pPr>
              <w:jc w:val="left"/>
            </w:pPr>
            <w:r w:rsidRPr="0080063C">
              <w:t>20</w:t>
            </w:r>
          </w:p>
        </w:tc>
        <w:tc>
          <w:tcPr>
            <w:tcW w:w="2207" w:type="dxa"/>
          </w:tcPr>
          <w:p w14:paraId="02DA6DD0" w14:textId="77777777" w:rsidR="00F06C4B" w:rsidRPr="0080063C" w:rsidRDefault="00F06C4B" w:rsidP="005449AA">
            <w:pPr>
              <w:jc w:val="left"/>
            </w:pPr>
            <m:oMathPara>
              <m:oMath>
                <m:r>
                  <w:rPr>
                    <w:rFonts w:ascii="Cambria Math" w:hAnsi="Cambria Math"/>
                  </w:rPr>
                  <m:t>4.02×</m:t>
                </m:r>
                <m:sSup>
                  <m:sSupPr>
                    <m:ctrlPr>
                      <w:rPr>
                        <w:rFonts w:ascii="Cambria Math" w:hAnsi="Cambria Math"/>
                        <w:i/>
                      </w:rPr>
                    </m:ctrlPr>
                  </m:sSupPr>
                  <m:e>
                    <m:r>
                      <w:rPr>
                        <w:rFonts w:ascii="Cambria Math" w:hAnsi="Cambria Math"/>
                      </w:rPr>
                      <m:t>10</m:t>
                    </m:r>
                  </m:e>
                  <m:sup>
                    <m:r>
                      <w:rPr>
                        <w:rFonts w:ascii="Cambria Math" w:hAnsi="Cambria Math"/>
                      </w:rPr>
                      <m:t>-19</m:t>
                    </m:r>
                  </m:sup>
                </m:sSup>
              </m:oMath>
            </m:oMathPara>
          </w:p>
        </w:tc>
        <w:tc>
          <w:tcPr>
            <w:tcW w:w="1534" w:type="dxa"/>
          </w:tcPr>
          <w:p w14:paraId="10B37E7C" w14:textId="77777777" w:rsidR="00F06C4B" w:rsidRPr="0080063C" w:rsidRDefault="00F06C4B" w:rsidP="005449AA">
            <w:pPr>
              <w:jc w:val="left"/>
            </w:pPr>
            <w:r>
              <w:t xml:space="preserve">2.73 </w:t>
            </w:r>
            <w:proofErr w:type="spellStart"/>
            <w:r>
              <w:t>mW</w:t>
            </w:r>
            <w:proofErr w:type="spellEnd"/>
          </w:p>
        </w:tc>
        <w:tc>
          <w:tcPr>
            <w:tcW w:w="1563" w:type="dxa"/>
          </w:tcPr>
          <w:p w14:paraId="51081E2F" w14:textId="77777777" w:rsidR="00F06C4B" w:rsidRDefault="00F06C4B" w:rsidP="005449AA">
            <w:pPr>
              <w:jc w:val="left"/>
            </w:pPr>
            <m:oMathPara>
              <m:oMath>
                <m:r>
                  <w:rPr>
                    <w:rFonts w:ascii="Cambria Math" w:hAnsi="Cambria Math"/>
                  </w:rPr>
                  <m:t>3.99×</m:t>
                </m:r>
                <m:sSup>
                  <m:sSupPr>
                    <m:ctrlPr>
                      <w:rPr>
                        <w:rFonts w:ascii="Cambria Math" w:hAnsi="Cambria Math"/>
                        <w:i/>
                      </w:rPr>
                    </m:ctrlPr>
                  </m:sSupPr>
                  <m:e>
                    <m:r>
                      <w:rPr>
                        <w:rFonts w:ascii="Cambria Math" w:hAnsi="Cambria Math"/>
                      </w:rPr>
                      <m:t>10</m:t>
                    </m:r>
                  </m:e>
                  <m:sup>
                    <m:r>
                      <w:rPr>
                        <w:rFonts w:ascii="Cambria Math" w:hAnsi="Cambria Math"/>
                      </w:rPr>
                      <m:t>-19</m:t>
                    </m:r>
                  </m:sup>
                </m:sSup>
              </m:oMath>
            </m:oMathPara>
          </w:p>
        </w:tc>
        <w:tc>
          <w:tcPr>
            <w:tcW w:w="1296" w:type="dxa"/>
          </w:tcPr>
          <w:p w14:paraId="3F7AD853" w14:textId="77777777" w:rsidR="00F06C4B" w:rsidRDefault="00F06C4B" w:rsidP="005449AA">
            <w:pPr>
              <w:jc w:val="left"/>
            </w:pPr>
            <w:r>
              <w:t xml:space="preserve">2.70 </w:t>
            </w:r>
            <w:proofErr w:type="spellStart"/>
            <w:r>
              <w:t>mW</w:t>
            </w:r>
            <w:proofErr w:type="spellEnd"/>
          </w:p>
        </w:tc>
      </w:tr>
      <w:tr w:rsidR="00F06C4B" w14:paraId="29CC5209" w14:textId="77777777" w:rsidTr="00CF40A4">
        <w:tc>
          <w:tcPr>
            <w:tcW w:w="1285" w:type="dxa"/>
            <w:shd w:val="clear" w:color="auto" w:fill="auto"/>
          </w:tcPr>
          <w:p w14:paraId="66DEAB07" w14:textId="77777777" w:rsidR="00F06C4B" w:rsidRPr="0080063C" w:rsidRDefault="00F06C4B" w:rsidP="005449AA">
            <w:pPr>
              <w:jc w:val="left"/>
            </w:pPr>
            <w:r>
              <w:t>400</w:t>
            </w:r>
            <w:r w:rsidRPr="0080063C">
              <w:t xml:space="preserve"> Hz</w:t>
            </w:r>
          </w:p>
        </w:tc>
        <w:tc>
          <w:tcPr>
            <w:tcW w:w="1219" w:type="dxa"/>
            <w:shd w:val="clear" w:color="auto" w:fill="auto"/>
          </w:tcPr>
          <w:p w14:paraId="07541678" w14:textId="77777777" w:rsidR="00F06C4B" w:rsidRPr="0080063C" w:rsidRDefault="00F06C4B" w:rsidP="005449AA">
            <w:pPr>
              <w:jc w:val="left"/>
            </w:pPr>
            <w:r>
              <w:t>1 s</w:t>
            </w:r>
            <w:r w:rsidRPr="0080063C">
              <w:t>econd</w:t>
            </w:r>
          </w:p>
        </w:tc>
        <w:tc>
          <w:tcPr>
            <w:tcW w:w="702" w:type="dxa"/>
          </w:tcPr>
          <w:p w14:paraId="3FEEB4CA" w14:textId="77777777" w:rsidR="00F06C4B" w:rsidRPr="0080063C" w:rsidRDefault="00F06C4B" w:rsidP="005449AA">
            <w:pPr>
              <w:jc w:val="left"/>
            </w:pPr>
            <w:r w:rsidRPr="0080063C">
              <w:t>20</w:t>
            </w:r>
          </w:p>
        </w:tc>
        <w:tc>
          <w:tcPr>
            <w:tcW w:w="2207" w:type="dxa"/>
          </w:tcPr>
          <w:p w14:paraId="439A6FE4" w14:textId="77777777" w:rsidR="00F06C4B" w:rsidRPr="0080063C" w:rsidRDefault="00F06C4B" w:rsidP="005449AA">
            <w:pPr>
              <w:jc w:val="left"/>
            </w:pPr>
            <m:oMathPara>
              <m:oMath>
                <m:r>
                  <w:rPr>
                    <w:rFonts w:ascii="Cambria Math" w:hAnsi="Cambria Math"/>
                  </w:rPr>
                  <m:t>3.07×</m:t>
                </m:r>
                <m:sSup>
                  <m:sSupPr>
                    <m:ctrlPr>
                      <w:rPr>
                        <w:rFonts w:ascii="Cambria Math" w:hAnsi="Cambria Math"/>
                        <w:i/>
                      </w:rPr>
                    </m:ctrlPr>
                  </m:sSupPr>
                  <m:e>
                    <m:r>
                      <w:rPr>
                        <w:rFonts w:ascii="Cambria Math" w:hAnsi="Cambria Math"/>
                      </w:rPr>
                      <m:t>10</m:t>
                    </m:r>
                  </m:e>
                  <m:sup>
                    <m:r>
                      <w:rPr>
                        <w:rFonts w:ascii="Cambria Math" w:hAnsi="Cambria Math"/>
                      </w:rPr>
                      <m:t>-19</m:t>
                    </m:r>
                  </m:sup>
                </m:sSup>
              </m:oMath>
            </m:oMathPara>
          </w:p>
        </w:tc>
        <w:tc>
          <w:tcPr>
            <w:tcW w:w="1534" w:type="dxa"/>
          </w:tcPr>
          <w:p w14:paraId="16C354BF" w14:textId="77777777" w:rsidR="00F06C4B" w:rsidRPr="0080063C" w:rsidRDefault="00F06C4B" w:rsidP="005449AA">
            <w:pPr>
              <w:jc w:val="left"/>
            </w:pPr>
            <w:r>
              <w:t>0.134 W</w:t>
            </w:r>
          </w:p>
        </w:tc>
        <w:tc>
          <w:tcPr>
            <w:tcW w:w="1563" w:type="dxa"/>
          </w:tcPr>
          <w:p w14:paraId="5E96F1D6" w14:textId="77777777" w:rsidR="00F06C4B" w:rsidRDefault="00F06C4B" w:rsidP="005449AA">
            <w:pPr>
              <w:jc w:val="left"/>
            </w:pPr>
            <m:oMathPara>
              <m:oMath>
                <m:r>
                  <w:rPr>
                    <w:rFonts w:ascii="Cambria Math" w:hAnsi="Cambria Math"/>
                  </w:rPr>
                  <m:t>1.35×</m:t>
                </m:r>
                <m:sSup>
                  <m:sSupPr>
                    <m:ctrlPr>
                      <w:rPr>
                        <w:rFonts w:ascii="Cambria Math" w:hAnsi="Cambria Math"/>
                        <w:i/>
                      </w:rPr>
                    </m:ctrlPr>
                  </m:sSupPr>
                  <m:e>
                    <m:r>
                      <w:rPr>
                        <w:rFonts w:ascii="Cambria Math" w:hAnsi="Cambria Math"/>
                      </w:rPr>
                      <m:t>10</m:t>
                    </m:r>
                  </m:e>
                  <m:sup>
                    <m:r>
                      <w:rPr>
                        <w:rFonts w:ascii="Cambria Math" w:hAnsi="Cambria Math"/>
                      </w:rPr>
                      <m:t>-18</m:t>
                    </m:r>
                  </m:sup>
                </m:sSup>
              </m:oMath>
            </m:oMathPara>
          </w:p>
        </w:tc>
        <w:tc>
          <w:tcPr>
            <w:tcW w:w="1296" w:type="dxa"/>
          </w:tcPr>
          <w:p w14:paraId="5FC87F66" w14:textId="77777777" w:rsidR="00F06C4B" w:rsidRDefault="00F06C4B" w:rsidP="005449AA">
            <w:pPr>
              <w:jc w:val="left"/>
            </w:pPr>
            <w:r>
              <w:t>0.584 W</w:t>
            </w:r>
          </w:p>
        </w:tc>
      </w:tr>
      <w:tr w:rsidR="00F06C4B" w14:paraId="04E25CB2" w14:textId="77777777" w:rsidTr="00CF40A4">
        <w:tc>
          <w:tcPr>
            <w:tcW w:w="1285" w:type="dxa"/>
            <w:shd w:val="clear" w:color="auto" w:fill="auto"/>
          </w:tcPr>
          <w:p w14:paraId="1E73DEEA" w14:textId="77777777" w:rsidR="00F06C4B" w:rsidRPr="0080063C" w:rsidRDefault="00F06C4B" w:rsidP="005449AA">
            <w:pPr>
              <w:jc w:val="left"/>
            </w:pPr>
            <w:r w:rsidRPr="0080063C">
              <w:t>1,</w:t>
            </w:r>
            <w:r>
              <w:t>100</w:t>
            </w:r>
            <w:r w:rsidRPr="0080063C">
              <w:t xml:space="preserve"> Hz</w:t>
            </w:r>
          </w:p>
        </w:tc>
        <w:tc>
          <w:tcPr>
            <w:tcW w:w="1219" w:type="dxa"/>
            <w:shd w:val="clear" w:color="auto" w:fill="auto"/>
          </w:tcPr>
          <w:p w14:paraId="5E3B80F6" w14:textId="77777777" w:rsidR="00F06C4B" w:rsidRPr="0080063C" w:rsidRDefault="00F06C4B" w:rsidP="005449AA">
            <w:pPr>
              <w:jc w:val="left"/>
            </w:pPr>
            <w:r>
              <w:t xml:space="preserve">1 </w:t>
            </w:r>
            <w:r w:rsidRPr="0080063C">
              <w:t>second</w:t>
            </w:r>
          </w:p>
        </w:tc>
        <w:tc>
          <w:tcPr>
            <w:tcW w:w="702" w:type="dxa"/>
          </w:tcPr>
          <w:p w14:paraId="2BCF41EC" w14:textId="77777777" w:rsidR="00F06C4B" w:rsidRPr="0080063C" w:rsidRDefault="00F06C4B" w:rsidP="005449AA">
            <w:pPr>
              <w:jc w:val="left"/>
            </w:pPr>
            <w:r w:rsidRPr="0080063C">
              <w:t>20</w:t>
            </w:r>
          </w:p>
        </w:tc>
        <w:tc>
          <w:tcPr>
            <w:tcW w:w="2207" w:type="dxa"/>
          </w:tcPr>
          <w:p w14:paraId="4920CB6F" w14:textId="77777777" w:rsidR="00F06C4B" w:rsidRPr="0080063C" w:rsidRDefault="00F06C4B" w:rsidP="005449AA">
            <w:pPr>
              <w:jc w:val="left"/>
            </w:pPr>
            <m:oMathPara>
              <m:oMath>
                <m:r>
                  <w:rPr>
                    <w:rFonts w:ascii="Cambria Math" w:hAnsi="Cambria Math"/>
                  </w:rPr>
                  <m:t>4.60×</m:t>
                </m:r>
                <m:sSup>
                  <m:sSupPr>
                    <m:ctrlPr>
                      <w:rPr>
                        <w:rFonts w:ascii="Cambria Math" w:hAnsi="Cambria Math"/>
                        <w:i/>
                      </w:rPr>
                    </m:ctrlPr>
                  </m:sSupPr>
                  <m:e>
                    <m:r>
                      <w:rPr>
                        <w:rFonts w:ascii="Cambria Math" w:hAnsi="Cambria Math"/>
                      </w:rPr>
                      <m:t>10</m:t>
                    </m:r>
                  </m:e>
                  <m:sup>
                    <m:r>
                      <w:rPr>
                        <w:rFonts w:ascii="Cambria Math" w:hAnsi="Cambria Math"/>
                      </w:rPr>
                      <m:t>-19</m:t>
                    </m:r>
                  </m:sup>
                </m:sSup>
              </m:oMath>
            </m:oMathPara>
          </w:p>
        </w:tc>
        <w:tc>
          <w:tcPr>
            <w:tcW w:w="1534" w:type="dxa"/>
          </w:tcPr>
          <w:p w14:paraId="0A292CDB" w14:textId="77777777" w:rsidR="00F06C4B" w:rsidRPr="0080063C" w:rsidRDefault="00F06C4B" w:rsidP="005449AA">
            <w:pPr>
              <w:jc w:val="left"/>
            </w:pPr>
            <w:r>
              <w:t>1.51 W</w:t>
            </w:r>
          </w:p>
        </w:tc>
        <w:tc>
          <w:tcPr>
            <w:tcW w:w="1563" w:type="dxa"/>
          </w:tcPr>
          <w:p w14:paraId="68AA84A1" w14:textId="77777777" w:rsidR="00F06C4B" w:rsidRDefault="00F06C4B" w:rsidP="005449AA">
            <w:pPr>
              <w:jc w:val="left"/>
            </w:pPr>
            <m:oMathPara>
              <m:oMath>
                <m:r>
                  <w:rPr>
                    <w:rFonts w:ascii="Cambria Math" w:hAnsi="Cambria Math"/>
                  </w:rPr>
                  <m:t>3.66×</m:t>
                </m:r>
                <m:sSup>
                  <m:sSupPr>
                    <m:ctrlPr>
                      <w:rPr>
                        <w:rFonts w:ascii="Cambria Math" w:hAnsi="Cambria Math"/>
                        <w:i/>
                      </w:rPr>
                    </m:ctrlPr>
                  </m:sSupPr>
                  <m:e>
                    <m:r>
                      <w:rPr>
                        <w:rFonts w:ascii="Cambria Math" w:hAnsi="Cambria Math"/>
                      </w:rPr>
                      <m:t>10</m:t>
                    </m:r>
                  </m:e>
                  <m:sup>
                    <m:r>
                      <w:rPr>
                        <w:rFonts w:ascii="Cambria Math" w:hAnsi="Cambria Math"/>
                      </w:rPr>
                      <m:t>-18</m:t>
                    </m:r>
                  </m:sup>
                </m:sSup>
              </m:oMath>
            </m:oMathPara>
          </w:p>
        </w:tc>
        <w:tc>
          <w:tcPr>
            <w:tcW w:w="1296" w:type="dxa"/>
          </w:tcPr>
          <w:p w14:paraId="70AF01BB" w14:textId="77777777" w:rsidR="00F06C4B" w:rsidRDefault="00F06C4B" w:rsidP="005449AA">
            <w:pPr>
              <w:jc w:val="left"/>
            </w:pPr>
            <w:r>
              <w:t>12.0 W</w:t>
            </w:r>
          </w:p>
        </w:tc>
      </w:tr>
      <w:tr w:rsidR="00F06C4B" w14:paraId="54161FD2" w14:textId="77777777" w:rsidTr="00CF40A4">
        <w:tc>
          <w:tcPr>
            <w:tcW w:w="1285" w:type="dxa"/>
            <w:shd w:val="clear" w:color="auto" w:fill="auto"/>
          </w:tcPr>
          <w:p w14:paraId="7B0AD295" w14:textId="77777777" w:rsidR="00F06C4B" w:rsidRPr="0080063C" w:rsidRDefault="00F06C4B" w:rsidP="005449AA">
            <w:pPr>
              <w:jc w:val="left"/>
            </w:pPr>
            <w:r>
              <w:t>2,000</w:t>
            </w:r>
            <w:r w:rsidRPr="0080063C">
              <w:t xml:space="preserve"> Hz</w:t>
            </w:r>
          </w:p>
        </w:tc>
        <w:tc>
          <w:tcPr>
            <w:tcW w:w="1219" w:type="dxa"/>
            <w:shd w:val="clear" w:color="auto" w:fill="auto"/>
          </w:tcPr>
          <w:p w14:paraId="693D87A0" w14:textId="77777777" w:rsidR="00F06C4B" w:rsidRPr="0080063C" w:rsidRDefault="00F06C4B" w:rsidP="005449AA">
            <w:pPr>
              <w:jc w:val="left"/>
            </w:pPr>
            <w:r>
              <w:t xml:space="preserve">60 </w:t>
            </w:r>
            <w:r w:rsidRPr="0080063C">
              <w:t>second</w:t>
            </w:r>
          </w:p>
        </w:tc>
        <w:tc>
          <w:tcPr>
            <w:tcW w:w="702" w:type="dxa"/>
          </w:tcPr>
          <w:p w14:paraId="7888FBBC" w14:textId="77777777" w:rsidR="00F06C4B" w:rsidRPr="0080063C" w:rsidRDefault="00F06C4B" w:rsidP="005449AA">
            <w:pPr>
              <w:jc w:val="left"/>
            </w:pPr>
            <w:r>
              <w:t>1</w:t>
            </w:r>
            <w:r w:rsidRPr="0080063C">
              <w:t>0</w:t>
            </w:r>
          </w:p>
        </w:tc>
        <w:tc>
          <w:tcPr>
            <w:tcW w:w="2207" w:type="dxa"/>
          </w:tcPr>
          <w:p w14:paraId="3A2E49BE" w14:textId="77777777" w:rsidR="00F06C4B" w:rsidRPr="0080063C" w:rsidRDefault="00F06C4B" w:rsidP="005449AA">
            <w:pPr>
              <w:jc w:val="left"/>
            </w:pPr>
            <m:oMathPara>
              <m:oMath>
                <m:r>
                  <w:rPr>
                    <w:rFonts w:ascii="Cambria Math" w:hAnsi="Cambria Math"/>
                  </w:rPr>
                  <m:t>3.67×</m:t>
                </m:r>
                <m:sSup>
                  <m:sSupPr>
                    <m:ctrlPr>
                      <w:rPr>
                        <w:rFonts w:ascii="Cambria Math" w:hAnsi="Cambria Math"/>
                        <w:i/>
                      </w:rPr>
                    </m:ctrlPr>
                  </m:sSupPr>
                  <m:e>
                    <m:r>
                      <w:rPr>
                        <w:rFonts w:ascii="Cambria Math" w:hAnsi="Cambria Math"/>
                      </w:rPr>
                      <m:t>10</m:t>
                    </m:r>
                  </m:e>
                  <m:sup>
                    <m:r>
                      <w:rPr>
                        <w:rFonts w:ascii="Cambria Math" w:hAnsi="Cambria Math"/>
                      </w:rPr>
                      <m:t>-19</m:t>
                    </m:r>
                  </m:sup>
                </m:sSup>
              </m:oMath>
            </m:oMathPara>
          </w:p>
        </w:tc>
        <w:tc>
          <w:tcPr>
            <w:tcW w:w="1534" w:type="dxa"/>
          </w:tcPr>
          <w:p w14:paraId="1CCFCDD3" w14:textId="77777777" w:rsidR="00F06C4B" w:rsidRPr="0080063C" w:rsidRDefault="00F06C4B" w:rsidP="005449AA">
            <w:pPr>
              <w:jc w:val="left"/>
            </w:pPr>
            <w:r>
              <w:t>0.515 W</w:t>
            </w:r>
          </w:p>
        </w:tc>
        <w:tc>
          <w:tcPr>
            <w:tcW w:w="1563" w:type="dxa"/>
          </w:tcPr>
          <w:p w14:paraId="6B17DC49" w14:textId="77777777" w:rsidR="00F06C4B" w:rsidRDefault="00F06C4B" w:rsidP="005449AA">
            <w:pPr>
              <w:jc w:val="left"/>
            </w:pPr>
            <m:oMathPara>
              <m:oMath>
                <m:r>
                  <w:rPr>
                    <w:rFonts w:ascii="Cambria Math" w:hAnsi="Cambria Math"/>
                  </w:rPr>
                  <m:t>3.32×</m:t>
                </m:r>
                <m:sSup>
                  <m:sSupPr>
                    <m:ctrlPr>
                      <w:rPr>
                        <w:rFonts w:ascii="Cambria Math" w:hAnsi="Cambria Math"/>
                        <w:i/>
                      </w:rPr>
                    </m:ctrlPr>
                  </m:sSupPr>
                  <m:e>
                    <m:r>
                      <w:rPr>
                        <w:rFonts w:ascii="Cambria Math" w:hAnsi="Cambria Math"/>
                      </w:rPr>
                      <m:t>10</m:t>
                    </m:r>
                  </m:e>
                  <m:sup>
                    <m:r>
                      <w:rPr>
                        <w:rFonts w:ascii="Cambria Math" w:hAnsi="Cambria Math"/>
                      </w:rPr>
                      <m:t>-18</m:t>
                    </m:r>
                  </m:sup>
                </m:sSup>
              </m:oMath>
            </m:oMathPara>
          </w:p>
        </w:tc>
        <w:tc>
          <w:tcPr>
            <w:tcW w:w="1296" w:type="dxa"/>
          </w:tcPr>
          <w:p w14:paraId="0D6AC50C" w14:textId="77777777" w:rsidR="00F06C4B" w:rsidRDefault="00F06C4B" w:rsidP="005449AA">
            <w:pPr>
              <w:jc w:val="left"/>
            </w:pPr>
            <w:r>
              <w:t>4.65 W</w:t>
            </w:r>
          </w:p>
        </w:tc>
      </w:tr>
      <w:tr w:rsidR="00F06C4B" w14:paraId="4258FC3D" w14:textId="77777777" w:rsidTr="00CF40A4">
        <w:tc>
          <w:tcPr>
            <w:tcW w:w="3206" w:type="dxa"/>
            <w:gridSpan w:val="3"/>
            <w:shd w:val="clear" w:color="auto" w:fill="auto"/>
          </w:tcPr>
          <w:p w14:paraId="6FCF998C" w14:textId="77777777" w:rsidR="00F06C4B" w:rsidRDefault="00F06C4B" w:rsidP="005449AA">
            <w:pPr>
              <w:jc w:val="left"/>
            </w:pPr>
          </w:p>
        </w:tc>
        <w:tc>
          <w:tcPr>
            <w:tcW w:w="2207" w:type="dxa"/>
          </w:tcPr>
          <w:p w14:paraId="0A427D09" w14:textId="2E9C5A18" w:rsidR="00F06C4B" w:rsidRPr="00153F48" w:rsidRDefault="00F06C4B" w:rsidP="005449AA">
            <w:pPr>
              <w:jc w:val="left"/>
              <w:rPr>
                <w:b/>
                <w:bCs/>
                <w:i/>
                <w:iCs/>
              </w:rPr>
            </w:pPr>
            <w:r>
              <w:rPr>
                <w:b/>
                <w:bCs/>
                <w:i/>
                <w:iCs/>
              </w:rPr>
              <w:t xml:space="preserve">Total </w:t>
            </w:r>
            <w:r w:rsidR="0096024B">
              <w:rPr>
                <w:b/>
                <w:bCs/>
                <w:i/>
                <w:iCs/>
              </w:rPr>
              <w:t xml:space="preserve">Pcal </w:t>
            </w:r>
            <w:r>
              <w:rPr>
                <w:b/>
                <w:bCs/>
                <w:i/>
                <w:iCs/>
              </w:rPr>
              <w:t>Power</w:t>
            </w:r>
          </w:p>
        </w:tc>
        <w:tc>
          <w:tcPr>
            <w:tcW w:w="1534" w:type="dxa"/>
          </w:tcPr>
          <w:p w14:paraId="33C36869" w14:textId="77777777" w:rsidR="00F06C4B" w:rsidRPr="00153F48" w:rsidRDefault="00F06C4B" w:rsidP="005449AA">
            <w:pPr>
              <w:jc w:val="left"/>
              <w:rPr>
                <w:b/>
                <w:bCs/>
                <w:i/>
                <w:iCs/>
              </w:rPr>
            </w:pPr>
            <w:r>
              <w:rPr>
                <w:b/>
                <w:bCs/>
                <w:i/>
                <w:iCs/>
              </w:rPr>
              <w:t xml:space="preserve">2.16 </w:t>
            </w:r>
            <w:r w:rsidRPr="00153F48">
              <w:rPr>
                <w:b/>
                <w:bCs/>
                <w:i/>
                <w:iCs/>
              </w:rPr>
              <w:t>W</w:t>
            </w:r>
          </w:p>
        </w:tc>
        <w:tc>
          <w:tcPr>
            <w:tcW w:w="1563" w:type="dxa"/>
          </w:tcPr>
          <w:p w14:paraId="6A894914" w14:textId="77777777" w:rsidR="00F06C4B" w:rsidRDefault="00F06C4B" w:rsidP="005449AA">
            <w:pPr>
              <w:jc w:val="left"/>
              <w:rPr>
                <w:b/>
                <w:bCs/>
                <w:i/>
                <w:iCs/>
              </w:rPr>
            </w:pPr>
          </w:p>
        </w:tc>
        <w:tc>
          <w:tcPr>
            <w:tcW w:w="1296" w:type="dxa"/>
          </w:tcPr>
          <w:p w14:paraId="2FC5624D" w14:textId="77777777" w:rsidR="00F06C4B" w:rsidRDefault="00F06C4B" w:rsidP="005449AA">
            <w:pPr>
              <w:jc w:val="left"/>
              <w:rPr>
                <w:b/>
                <w:bCs/>
                <w:i/>
                <w:iCs/>
              </w:rPr>
            </w:pPr>
            <w:r>
              <w:rPr>
                <w:b/>
                <w:bCs/>
                <w:i/>
                <w:iCs/>
              </w:rPr>
              <w:t>17.2 W</w:t>
            </w:r>
          </w:p>
        </w:tc>
      </w:tr>
    </w:tbl>
    <w:p w14:paraId="55621C67" w14:textId="77777777" w:rsidR="00F06C4B" w:rsidRPr="00AE7823" w:rsidRDefault="00F06C4B" w:rsidP="005449AA">
      <w:pPr>
        <w:jc w:val="left"/>
      </w:pPr>
      <w:r>
        <w:rPr>
          <w:noProof/>
          <w:lang w:bidi="he-IL"/>
        </w:rPr>
        <w:drawing>
          <wp:inline distT="0" distB="0" distL="0" distR="0" wp14:anchorId="0D30DD21" wp14:editId="269FF1EA">
            <wp:extent cx="4051300" cy="333712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051430" cy="3337235"/>
                    </a:xfrm>
                    <a:prstGeom prst="rect">
                      <a:avLst/>
                    </a:prstGeom>
                  </pic:spPr>
                </pic:pic>
              </a:graphicData>
            </a:graphic>
          </wp:inline>
        </w:drawing>
      </w:r>
    </w:p>
    <w:p w14:paraId="2FE88AC3" w14:textId="23669316" w:rsidR="00F06C4B" w:rsidRDefault="00F06C4B" w:rsidP="005449AA">
      <w:pPr>
        <w:pStyle w:val="Caption"/>
        <w:jc w:val="left"/>
        <w:rPr>
          <w:bCs/>
          <w:noProof/>
        </w:rPr>
      </w:pPr>
      <w:bookmarkStart w:id="50" w:name="_Ref301951016"/>
      <w:bookmarkStart w:id="51" w:name="_Toc168713277"/>
      <w:bookmarkStart w:id="52" w:name="_Toc311535631"/>
      <w:r>
        <w:t xml:space="preserve">Figure </w:t>
      </w:r>
      <w:fldSimple w:instr=" SEQ Figure \* ARABIC ">
        <w:r w:rsidR="00E57C6B">
          <w:rPr>
            <w:noProof/>
          </w:rPr>
          <w:t>9</w:t>
        </w:r>
      </w:fldSimple>
      <w:bookmarkEnd w:id="50"/>
      <w:r>
        <w:rPr>
          <w:noProof/>
        </w:rPr>
        <w:t xml:space="preserve"> –Required laser power as a function of frequency for two </w:t>
      </w:r>
      <w:r w:rsidR="002C688C">
        <w:rPr>
          <w:noProof/>
        </w:rPr>
        <w:t xml:space="preserve">aLIGO </w:t>
      </w:r>
      <w:r>
        <w:rPr>
          <w:noProof/>
        </w:rPr>
        <w:t>interferometer configurations</w:t>
      </w:r>
      <w:bookmarkEnd w:id="51"/>
      <w:r w:rsidR="002C688C">
        <w:rPr>
          <w:noProof/>
        </w:rPr>
        <w:t>.</w:t>
      </w:r>
      <w:r>
        <w:rPr>
          <w:bCs/>
          <w:noProof/>
        </w:rPr>
        <w:t xml:space="preserve"> Circles represent </w:t>
      </w:r>
      <w:r w:rsidR="002F393F">
        <w:rPr>
          <w:bCs/>
          <w:noProof/>
        </w:rPr>
        <w:t>reference displacements</w:t>
      </w:r>
      <w:r>
        <w:rPr>
          <w:bCs/>
          <w:noProof/>
        </w:rPr>
        <w:t xml:space="preserve">. The two circles at 2 kHz are reduced from their respective curves by </w:t>
      </w:r>
      <m:oMath>
        <m:r>
          <m:rPr>
            <m:sty m:val="bi"/>
          </m:rPr>
          <w:rPr>
            <w:rFonts w:ascii="Cambria Math" w:hAnsi="Cambria Math"/>
            <w:noProof/>
          </w:rPr>
          <m:t>2</m:t>
        </m:r>
        <m:rad>
          <m:radPr>
            <m:degHide m:val="1"/>
            <m:ctrlPr>
              <w:rPr>
                <w:rFonts w:ascii="Cambria Math" w:hAnsi="Cambria Math"/>
                <w:bCs/>
                <w:i/>
                <w:noProof/>
              </w:rPr>
            </m:ctrlPr>
          </m:radPr>
          <m:deg/>
          <m:e>
            <m:r>
              <m:rPr>
                <m:sty m:val="bi"/>
              </m:rPr>
              <w:rPr>
                <w:rFonts w:ascii="Cambria Math" w:hAnsi="Cambria Math"/>
                <w:noProof/>
              </w:rPr>
              <m:t>60</m:t>
            </m:r>
          </m:e>
        </m:rad>
      </m:oMath>
      <w:r>
        <w:rPr>
          <w:bCs/>
          <w:noProof/>
        </w:rPr>
        <w:t xml:space="preserve">, reflecting their lower SNR and </w:t>
      </w:r>
      <w:r w:rsidR="002C688C">
        <w:rPr>
          <w:bCs/>
          <w:noProof/>
        </w:rPr>
        <w:t>longer DFT time</w:t>
      </w:r>
      <w:r>
        <w:rPr>
          <w:bCs/>
          <w:noProof/>
        </w:rPr>
        <w:t xml:space="preserve"> as shown in </w:t>
      </w:r>
      <w:r w:rsidR="002F393F">
        <w:rPr>
          <w:bCs/>
          <w:noProof/>
        </w:rPr>
        <w:t xml:space="preserve">column 2 of </w:t>
      </w:r>
      <w:r>
        <w:rPr>
          <w:bCs/>
          <w:noProof/>
        </w:rPr>
        <w:fldChar w:fldCharType="begin"/>
      </w:r>
      <w:r>
        <w:rPr>
          <w:bCs/>
          <w:noProof/>
        </w:rPr>
        <w:instrText xml:space="preserve"> REF _Ref311470464 \h </w:instrText>
      </w:r>
      <w:r>
        <w:rPr>
          <w:bCs/>
          <w:noProof/>
        </w:rPr>
      </w:r>
      <w:r>
        <w:rPr>
          <w:bCs/>
          <w:noProof/>
        </w:rPr>
        <w:fldChar w:fldCharType="separate"/>
      </w:r>
      <w:r w:rsidR="00E57C6B">
        <w:t xml:space="preserve">Table </w:t>
      </w:r>
      <w:r w:rsidR="00E57C6B">
        <w:rPr>
          <w:noProof/>
        </w:rPr>
        <w:t>1</w:t>
      </w:r>
      <w:r>
        <w:rPr>
          <w:bCs/>
          <w:noProof/>
        </w:rPr>
        <w:fldChar w:fldCharType="end"/>
      </w:r>
      <w:r>
        <w:rPr>
          <w:bCs/>
          <w:noProof/>
        </w:rPr>
        <w:t>.</w:t>
      </w:r>
      <w:bookmarkEnd w:id="52"/>
    </w:p>
    <w:p w14:paraId="64CFE15F" w14:textId="640B3E96" w:rsidR="002C688C" w:rsidRPr="0016183D" w:rsidRDefault="002C688C" w:rsidP="0016183D">
      <w:pPr>
        <w:pStyle w:val="Caption"/>
        <w:keepNext/>
        <w:jc w:val="left"/>
        <w:rPr>
          <w:b w:val="0"/>
          <w:bCs/>
        </w:rPr>
      </w:pPr>
      <w:r w:rsidRPr="002A139C">
        <w:rPr>
          <w:b w:val="0"/>
          <w:bCs/>
        </w:rPr>
        <w:fldChar w:fldCharType="begin"/>
      </w:r>
      <w:r w:rsidRPr="002A139C">
        <w:rPr>
          <w:b w:val="0"/>
          <w:bCs/>
        </w:rPr>
        <w:instrText xml:space="preserve"> REF _Ref311470464 \h  \* MERGEFORMAT </w:instrText>
      </w:r>
      <w:r w:rsidRPr="002A139C">
        <w:rPr>
          <w:b w:val="0"/>
          <w:bCs/>
        </w:rPr>
      </w:r>
      <w:r w:rsidRPr="002A139C">
        <w:rPr>
          <w:b w:val="0"/>
          <w:bCs/>
        </w:rPr>
        <w:fldChar w:fldCharType="separate"/>
      </w:r>
      <w:r w:rsidR="00E57C6B" w:rsidRPr="00E57C6B">
        <w:rPr>
          <w:b w:val="0"/>
          <w:bCs/>
        </w:rPr>
        <w:t xml:space="preserve">Table </w:t>
      </w:r>
      <w:r w:rsidR="00E57C6B" w:rsidRPr="00E57C6B">
        <w:rPr>
          <w:b w:val="0"/>
          <w:bCs/>
          <w:noProof/>
        </w:rPr>
        <w:t>1</w:t>
      </w:r>
      <w:r w:rsidRPr="002A139C">
        <w:rPr>
          <w:b w:val="0"/>
          <w:bCs/>
        </w:rPr>
        <w:fldChar w:fldCharType="end"/>
      </w:r>
      <w:r>
        <w:rPr>
          <w:b w:val="0"/>
          <w:bCs/>
        </w:rPr>
        <w:t xml:space="preserve"> shows that as frequency increases, the required Pcal laser power increases rapidly. To maintain reasonable Pcal laser powers, the highest calibration line, which is placed beyond the UGF of the DARM servo, only requires an SNR of 10 for 60-second-long DFTs. </w:t>
      </w:r>
    </w:p>
    <w:p w14:paraId="07203189" w14:textId="780BA73D" w:rsidR="00F06C4B" w:rsidRDefault="00CD62A3" w:rsidP="005449AA">
      <w:pPr>
        <w:jc w:val="left"/>
      </w:pPr>
      <w:r>
        <w:t>Note that o</w:t>
      </w:r>
      <w:r w:rsidR="002C688C">
        <w:t xml:space="preserve">ther </w:t>
      </w:r>
      <w:r w:rsidR="00F06C4B">
        <w:t xml:space="preserve">configurations for the </w:t>
      </w:r>
      <w:r w:rsidR="006D01D5">
        <w:t>Pcal</w:t>
      </w:r>
      <w:r w:rsidR="00F06C4B">
        <w:t xml:space="preserve"> excitations </w:t>
      </w:r>
      <w:r w:rsidR="002C688C">
        <w:t xml:space="preserve">might also be utilized for aLIGO calibration studies. For instance, the </w:t>
      </w:r>
      <w:r w:rsidR="00F06C4B">
        <w:t xml:space="preserve">Pcals </w:t>
      </w:r>
      <w:r w:rsidR="002C688C">
        <w:t xml:space="preserve">on the two interferometer ETMs </w:t>
      </w:r>
      <w:r w:rsidR="00F06C4B">
        <w:t>can excite excitations in differ</w:t>
      </w:r>
      <w:r w:rsidR="002C688C">
        <w:t>ential mode, enabling twice the differential displacement excitation of a sin</w:t>
      </w:r>
      <w:r>
        <w:t>gle Pcal module.  Or, the two Pcal modules could</w:t>
      </w:r>
      <w:r w:rsidR="00360B97">
        <w:t xml:space="preserve"> operate in common mode, </w:t>
      </w:r>
      <w:r>
        <w:t>inducing a large common-mode excitation with minimal differential mode excitation</w:t>
      </w:r>
      <w:r w:rsidR="00360B97">
        <w:t xml:space="preserve">. </w:t>
      </w:r>
      <w:r>
        <w:t>Observation of a peak in the differential length spectrum (or the lack thereof) would indicate a change (or lack of change) in the differential actuation of the DARM servo.</w:t>
      </w:r>
    </w:p>
    <w:p w14:paraId="702606C7" w14:textId="77777777" w:rsidR="005271B8" w:rsidRDefault="005271B8" w:rsidP="005449AA">
      <w:pPr>
        <w:pStyle w:val="Heading2"/>
        <w:jc w:val="left"/>
      </w:pPr>
      <w:bookmarkStart w:id="53" w:name="_Toc292192997"/>
      <w:bookmarkStart w:id="54" w:name="_Toc321729348"/>
      <w:r>
        <w:lastRenderedPageBreak/>
        <w:t>Displacement Noise</w:t>
      </w:r>
      <w:bookmarkEnd w:id="53"/>
      <w:r>
        <w:t>: Relative Power Noise and Harmonic Noise</w:t>
      </w:r>
      <w:bookmarkEnd w:id="54"/>
    </w:p>
    <w:p w14:paraId="7DDEF8C6" w14:textId="77777777" w:rsidR="005271B8" w:rsidRDefault="005271B8" w:rsidP="005449AA">
      <w:pPr>
        <w:jc w:val="left"/>
      </w:pPr>
      <w:r>
        <w:t>The amplitude spectral density of the displacement noise from Pcal, other than intentional reference displacements, shall not exceed 10% of the design sensitivity for the interferometer. We use the “zero-detuning, high power” sensitivity curve for this requirement (</w:t>
      </w:r>
      <w:hyperlink r:id="rId48" w:history="1">
        <w:r w:rsidRPr="007420DC">
          <w:rPr>
            <w:rStyle w:val="Hyperlink"/>
          </w:rPr>
          <w:t>LIGO-T0900288</w:t>
        </w:r>
      </w:hyperlink>
      <w:r>
        <w:rPr>
          <w:rStyle w:val="Hyperlink"/>
        </w:rPr>
        <w:t>)</w:t>
      </w:r>
      <w:r>
        <w:t>.</w:t>
      </w:r>
    </w:p>
    <w:p w14:paraId="6DFAC720" w14:textId="77777777" w:rsidR="005271B8" w:rsidRDefault="005271B8" w:rsidP="005449AA">
      <w:pPr>
        <w:jc w:val="left"/>
      </w:pPr>
      <w:bookmarkStart w:id="55" w:name="_Toc294606120"/>
      <w:bookmarkStart w:id="56" w:name="_Toc294606191"/>
      <w:bookmarkStart w:id="57" w:name="_Toc294606330"/>
      <w:bookmarkEnd w:id="55"/>
      <w:bookmarkEnd w:id="56"/>
      <w:bookmarkEnd w:id="57"/>
      <w:r>
        <w:t>There are two sources of displacement noise from the Pcals: inherent relative power noise from the laser (RPN) and noise introduced at harmonics of the modulation frequency due to nonlinearity of the power modulation process.</w:t>
      </w:r>
    </w:p>
    <w:p w14:paraId="48B618ED" w14:textId="77777777" w:rsidR="005271B8" w:rsidRPr="000E7B4C" w:rsidRDefault="005271B8" w:rsidP="005449AA">
      <w:pPr>
        <w:jc w:val="left"/>
      </w:pPr>
      <w:r>
        <w:t>The maximum allowed displacement due to RPN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5271B8" w14:paraId="21901C50" w14:textId="77777777" w:rsidTr="005271B8">
        <w:trPr>
          <w:jc w:val="center"/>
        </w:trPr>
        <w:tc>
          <w:tcPr>
            <w:tcW w:w="750" w:type="pct"/>
            <w:vAlign w:val="center"/>
          </w:tcPr>
          <w:p w14:paraId="0CE71125" w14:textId="77777777" w:rsidR="005271B8" w:rsidRDefault="005271B8" w:rsidP="005449AA">
            <w:pPr>
              <w:jc w:val="left"/>
            </w:pPr>
          </w:p>
        </w:tc>
        <w:tc>
          <w:tcPr>
            <w:tcW w:w="3500" w:type="pct"/>
          </w:tcPr>
          <w:p w14:paraId="17897224" w14:textId="77777777" w:rsidR="005271B8" w:rsidRDefault="00E57C6B" w:rsidP="005449AA">
            <w:pPr>
              <w:jc w:val="left"/>
            </w:pPr>
            <m:oMathPara>
              <m:oMath>
                <m:sSub>
                  <m:sSubPr>
                    <m:ctrlPr>
                      <w:rPr>
                        <w:rFonts w:ascii="Cambria Math" w:hAnsi="Cambria Math"/>
                        <w:i/>
                      </w:rPr>
                    </m:ctrlPr>
                  </m:sSubPr>
                  <m:e>
                    <m:r>
                      <w:rPr>
                        <w:rFonts w:ascii="Cambria Math" w:hAnsi="Cambria Math"/>
                      </w:rPr>
                      <m:t>Δx</m:t>
                    </m:r>
                  </m:e>
                  <m:sub>
                    <m:r>
                      <w:rPr>
                        <w:rFonts w:ascii="Cambria Math" w:hAnsi="Cambria Math"/>
                      </w:rPr>
                      <m:t>max</m:t>
                    </m:r>
                  </m:sub>
                </m:sSub>
                <m:r>
                  <w:rPr>
                    <w:rFonts w:ascii="Cambria Math" w:hAnsi="Cambria Math"/>
                  </w:rPr>
                  <m:t>=2</m:t>
                </m:r>
                <m:sSub>
                  <m:sSubPr>
                    <m:ctrlPr>
                      <w:rPr>
                        <w:rFonts w:ascii="Cambria Math" w:hAnsi="Cambria Math"/>
                        <w:i/>
                      </w:rPr>
                    </m:ctrlPr>
                  </m:sSubPr>
                  <m:e>
                    <m:r>
                      <w:rPr>
                        <w:rFonts w:ascii="Cambria Math" w:hAnsi="Cambria Math"/>
                      </w:rPr>
                      <m:t>ΔP</m:t>
                    </m:r>
                  </m:e>
                  <m:sub>
                    <m:r>
                      <w:rPr>
                        <w:rFonts w:ascii="Cambria Math" w:hAnsi="Cambria Math"/>
                      </w:rPr>
                      <m:t>max</m:t>
                    </m:r>
                  </m:sub>
                </m:sSub>
                <m:r>
                  <w:rPr>
                    <w:rFonts w:ascii="Cambria Math" w:hAnsi="Cambria Math"/>
                  </w:rPr>
                  <m:t>cosθ/(Mc</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)=Lh</m:t>
                </m:r>
                <m:d>
                  <m:dPr>
                    <m:ctrlPr>
                      <w:rPr>
                        <w:rFonts w:ascii="Cambria Math" w:hAnsi="Cambria Math"/>
                        <w:i/>
                      </w:rPr>
                    </m:ctrlPr>
                  </m:dPr>
                  <m:e>
                    <m:r>
                      <w:rPr>
                        <w:rFonts w:ascii="Cambria Math" w:hAnsi="Cambria Math"/>
                      </w:rPr>
                      <m:t>f</m:t>
                    </m:r>
                  </m:e>
                </m:d>
                <m:r>
                  <w:rPr>
                    <w:rFonts w:ascii="Cambria Math" w:hAnsi="Cambria Math"/>
                  </w:rPr>
                  <m:t>/10</m:t>
                </m:r>
              </m:oMath>
            </m:oMathPara>
          </w:p>
        </w:tc>
        <w:tc>
          <w:tcPr>
            <w:tcW w:w="750" w:type="pct"/>
            <w:vAlign w:val="center"/>
          </w:tcPr>
          <w:p w14:paraId="0EEC7D50" w14:textId="77777777" w:rsidR="005271B8" w:rsidRDefault="005271B8" w:rsidP="005449AA">
            <w:pPr>
              <w:jc w:val="left"/>
            </w:pPr>
            <w:bookmarkStart w:id="58" w:name="_Ref187135527"/>
            <w:r>
              <w:t>(</w:t>
            </w:r>
            <w:fldSimple w:instr=" SEQ Equation \* ARABIC ">
              <w:r w:rsidR="00E57C6B">
                <w:rPr>
                  <w:noProof/>
                </w:rPr>
                <w:t>4</w:t>
              </w:r>
            </w:fldSimple>
            <w:r>
              <w:t>)</w:t>
            </w:r>
            <w:bookmarkEnd w:id="58"/>
            <w:r>
              <w:t xml:space="preserve"> </w:t>
            </w:r>
          </w:p>
        </w:tc>
      </w:tr>
    </w:tbl>
    <w:p w14:paraId="309AF005" w14:textId="77777777" w:rsidR="005271B8" w:rsidRDefault="005271B8" w:rsidP="005449AA">
      <w:pPr>
        <w:jc w:val="left"/>
      </w:pPr>
      <w:r>
        <w:t xml:space="preserve">The average power incident on the ETM </w:t>
      </w:r>
      <w:proofErr w:type="gramStart"/>
      <w:r>
        <w:t xml:space="preserve">is </w:t>
      </w:r>
      <w:proofErr w:type="gramEnd"/>
      <m:oMath>
        <m:r>
          <w:rPr>
            <w:rFonts w:ascii="Cambria Math" w:hAnsi="Cambria Math"/>
          </w:rPr>
          <m:t>ϵ</m:t>
        </m:r>
        <m:sSub>
          <m:sSubPr>
            <m:ctrlPr>
              <w:rPr>
                <w:rFonts w:ascii="Cambria Math" w:hAnsi="Cambria Math"/>
                <w:i/>
              </w:rPr>
            </m:ctrlPr>
          </m:sSubPr>
          <m:e>
            <m:r>
              <w:rPr>
                <w:rFonts w:ascii="Cambria Math" w:hAnsi="Cambria Math"/>
              </w:rPr>
              <m:t>P</m:t>
            </m:r>
          </m:e>
          <m:sub>
            <m:r>
              <w:rPr>
                <w:rFonts w:ascii="Cambria Math" w:hAnsi="Cambria Math"/>
              </w:rPr>
              <m:t>laser</m:t>
            </m:r>
          </m:sub>
        </m:sSub>
        <m:r>
          <w:rPr>
            <w:rFonts w:ascii="Cambria Math" w:hAnsi="Cambria Math"/>
          </w:rPr>
          <m:t>/2</m:t>
        </m:r>
      </m:oMath>
      <w:r>
        <w:t>, so the maximum laser RPN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5271B8" w14:paraId="1F189D4E" w14:textId="77777777" w:rsidTr="005271B8">
        <w:trPr>
          <w:jc w:val="center"/>
        </w:trPr>
        <w:tc>
          <w:tcPr>
            <w:tcW w:w="750" w:type="pct"/>
            <w:vAlign w:val="center"/>
          </w:tcPr>
          <w:p w14:paraId="42F6CA2E" w14:textId="77777777" w:rsidR="005271B8" w:rsidRDefault="005271B8" w:rsidP="005449AA">
            <w:pPr>
              <w:jc w:val="left"/>
            </w:pPr>
          </w:p>
        </w:tc>
        <w:tc>
          <w:tcPr>
            <w:tcW w:w="3500" w:type="pct"/>
          </w:tcPr>
          <w:p w14:paraId="10B722CD" w14:textId="77777777" w:rsidR="005271B8" w:rsidRDefault="00E57C6B" w:rsidP="005449AA">
            <w:pPr>
              <w:jc w:val="left"/>
            </w:pPr>
            <m:oMathPara>
              <m:oMath>
                <m:sSub>
                  <m:sSubPr>
                    <m:ctrlPr>
                      <w:rPr>
                        <w:rFonts w:ascii="Cambria Math" w:hAnsi="Cambria Math"/>
                        <w:i/>
                      </w:rPr>
                    </m:ctrlPr>
                  </m:sSubPr>
                  <m:e>
                    <m:r>
                      <w:rPr>
                        <w:rFonts w:ascii="Cambria Math" w:hAnsi="Cambria Math"/>
                      </w:rPr>
                      <m:t>RPN</m:t>
                    </m:r>
                  </m:e>
                  <m:sub>
                    <m:r>
                      <w:rPr>
                        <w:rFonts w:ascii="Cambria Math" w:hAnsi="Cambria Math"/>
                      </w:rPr>
                      <m:t>max</m:t>
                    </m:r>
                  </m:sub>
                </m:sSub>
                <m:r>
                  <w:rPr>
                    <w:rFonts w:ascii="Cambria Math" w:hAnsi="Cambria Math"/>
                  </w:rPr>
                  <m:t>=ΔP/(</m:t>
                </m:r>
                <m:sSub>
                  <m:sSubPr>
                    <m:ctrlPr>
                      <w:rPr>
                        <w:rFonts w:ascii="Cambria Math" w:hAnsi="Cambria Math"/>
                        <w:i/>
                      </w:rPr>
                    </m:ctrlPr>
                  </m:sSubPr>
                  <m:e>
                    <m:r>
                      <w:rPr>
                        <w:rFonts w:ascii="Cambria Math" w:hAnsi="Cambria Math"/>
                      </w:rPr>
                      <m:t>P</m:t>
                    </m:r>
                  </m:e>
                  <m:sub>
                    <m:r>
                      <w:rPr>
                        <w:rFonts w:ascii="Cambria Math" w:hAnsi="Cambria Math"/>
                      </w:rPr>
                      <m:t>laser</m:t>
                    </m:r>
                  </m:sub>
                </m:sSub>
                <m:r>
                  <w:rPr>
                    <w:rFonts w:ascii="Cambria Math" w:hAnsi="Cambria Math"/>
                  </w:rPr>
                  <m:t>ϵ/2)=</m:t>
                </m:r>
                <m:f>
                  <m:fPr>
                    <m:ctrlPr>
                      <w:rPr>
                        <w:rFonts w:ascii="Cambria Math" w:hAnsi="Cambria Math"/>
                        <w:i/>
                      </w:rPr>
                    </m:ctrlPr>
                  </m:fPr>
                  <m:num>
                    <m:r>
                      <w:rPr>
                        <w:rFonts w:ascii="Cambria Math" w:hAnsi="Cambria Math"/>
                      </w:rPr>
                      <m:t>Lh(f)Mc</m:t>
                    </m:r>
                    <m:sSup>
                      <m:sSupPr>
                        <m:ctrlPr>
                          <w:rPr>
                            <w:rFonts w:ascii="Cambria Math" w:hAnsi="Cambria Math"/>
                            <w:i/>
                          </w:rPr>
                        </m:ctrlPr>
                      </m:sSupPr>
                      <m:e>
                        <m:r>
                          <w:rPr>
                            <w:rFonts w:ascii="Cambria Math" w:hAnsi="Cambria Math"/>
                          </w:rPr>
                          <m:t>ω</m:t>
                        </m:r>
                      </m:e>
                      <m:sup>
                        <m:r>
                          <w:rPr>
                            <w:rFonts w:ascii="Cambria Math" w:hAnsi="Cambria Math"/>
                          </w:rPr>
                          <m:t>2</m:t>
                        </m:r>
                      </m:sup>
                    </m:sSup>
                  </m:num>
                  <m:den>
                    <m:r>
                      <w:rPr>
                        <w:rFonts w:ascii="Cambria Math" w:hAnsi="Cambria Math"/>
                      </w:rPr>
                      <m:t>10</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sSub>
                      <m:sSubPr>
                        <m:ctrlPr>
                          <w:rPr>
                            <w:rFonts w:ascii="Cambria Math" w:hAnsi="Cambria Math"/>
                            <w:i/>
                          </w:rPr>
                        </m:ctrlPr>
                      </m:sSubPr>
                      <m:e>
                        <m:r>
                          <w:rPr>
                            <w:rFonts w:ascii="Cambria Math" w:hAnsi="Cambria Math"/>
                          </w:rPr>
                          <m:t>P</m:t>
                        </m:r>
                      </m:e>
                      <m:sub>
                        <m:r>
                          <w:rPr>
                            <w:rFonts w:ascii="Cambria Math" w:hAnsi="Cambria Math"/>
                          </w:rPr>
                          <m:t>laser</m:t>
                        </m:r>
                      </m:sub>
                    </m:sSub>
                    <m:r>
                      <w:rPr>
                        <w:rFonts w:ascii="Cambria Math" w:hAnsi="Cambria Math"/>
                      </w:rPr>
                      <m:t>ϵ</m:t>
                    </m:r>
                  </m:den>
                </m:f>
              </m:oMath>
            </m:oMathPara>
          </w:p>
        </w:tc>
        <w:tc>
          <w:tcPr>
            <w:tcW w:w="750" w:type="pct"/>
            <w:vAlign w:val="center"/>
          </w:tcPr>
          <w:p w14:paraId="5CBECF03" w14:textId="77777777" w:rsidR="005271B8" w:rsidRDefault="005271B8" w:rsidP="005449AA">
            <w:pPr>
              <w:jc w:val="left"/>
            </w:pPr>
            <w:r>
              <w:t>(</w:t>
            </w:r>
            <w:fldSimple w:instr=" SEQ Equation \* ARABIC ">
              <w:r w:rsidR="00E57C6B">
                <w:rPr>
                  <w:noProof/>
                </w:rPr>
                <w:t>5</w:t>
              </w:r>
            </w:fldSimple>
            <w:r>
              <w:t>)</w:t>
            </w:r>
          </w:p>
        </w:tc>
      </w:tr>
    </w:tbl>
    <w:p w14:paraId="0E576C71" w14:textId="77777777" w:rsidR="005271B8" w:rsidRDefault="005271B8" w:rsidP="005449AA">
      <w:pPr>
        <w:jc w:val="left"/>
      </w:pPr>
      <w:r>
        <w:t xml:space="preserve">The maximum allowable RPN for two aLIGO sensitivity curves, the “no SRM” and the “zero-detuning, high power” configurations, and assuming the raw laser powers given in </w:t>
      </w:r>
      <w:r>
        <w:fldChar w:fldCharType="begin"/>
      </w:r>
      <w:r>
        <w:instrText xml:space="preserve"> REF _Ref311470464 \h </w:instrText>
      </w:r>
      <w:r>
        <w:fldChar w:fldCharType="separate"/>
      </w:r>
      <w:r w:rsidR="00E57C6B">
        <w:t xml:space="preserve">Table </w:t>
      </w:r>
      <w:r w:rsidR="00E57C6B">
        <w:rPr>
          <w:noProof/>
        </w:rPr>
        <w:t>1</w:t>
      </w:r>
      <w:r>
        <w:fldChar w:fldCharType="end"/>
      </w:r>
      <w:r>
        <w:t xml:space="preserve"> (2.16 W and 17.2 W, respectively), are plotted in </w:t>
      </w:r>
      <w:r>
        <w:fldChar w:fldCharType="begin"/>
      </w:r>
      <w:r>
        <w:instrText xml:space="preserve"> REF _Ref301950961 \h </w:instrText>
      </w:r>
      <w:r>
        <w:fldChar w:fldCharType="separate"/>
      </w:r>
      <w:r w:rsidR="00E57C6B">
        <w:t xml:space="preserve">Figure </w:t>
      </w:r>
      <w:r w:rsidR="00E57C6B">
        <w:rPr>
          <w:noProof/>
        </w:rPr>
        <w:t>10</w:t>
      </w:r>
      <w:r>
        <w:fldChar w:fldCharType="end"/>
      </w:r>
      <w:r>
        <w:t xml:space="preserve">.  Also plotted for comparison are the measured RPN of two candidate lasers, a 500 </w:t>
      </w:r>
      <w:proofErr w:type="spellStart"/>
      <w:r>
        <w:t>mW</w:t>
      </w:r>
      <w:proofErr w:type="spellEnd"/>
      <w:r>
        <w:t xml:space="preserve"> unit sold by CrystaLaser and a 500 </w:t>
      </w:r>
      <w:proofErr w:type="spellStart"/>
      <w:r>
        <w:t>mW</w:t>
      </w:r>
      <w:proofErr w:type="spellEnd"/>
      <w:r>
        <w:t xml:space="preserve"> </w:t>
      </w:r>
      <w:proofErr w:type="spellStart"/>
      <w:r>
        <w:t>microFlare</w:t>
      </w:r>
      <w:proofErr w:type="spellEnd"/>
      <w:r>
        <w:t xml:space="preserve"> laser sold by InnoLight.  Both lasers were scaled to the higher power levels assuming that the RPN of the lasers would stay the same.</w:t>
      </w:r>
    </w:p>
    <w:p w14:paraId="4AE7D9E1" w14:textId="77777777" w:rsidR="005271B8" w:rsidRDefault="005271B8" w:rsidP="005449AA">
      <w:pPr>
        <w:jc w:val="left"/>
      </w:pPr>
      <w:r>
        <w:t>The “no SRM” curve is shown for comparison only; we don’t intend to procure 17 W lasers for the Pcals.  Note, however, that because the Pcals will use lasers with only about 2 W output power the SNR for the Pcal reference displacement lines achievable in the “no SRM” mode will be significantly lower.</w:t>
      </w:r>
    </w:p>
    <w:p w14:paraId="3B9E7ABC" w14:textId="54E9F544" w:rsidR="005271B8" w:rsidRDefault="00726E22" w:rsidP="005449AA">
      <w:pPr>
        <w:keepNext/>
        <w:jc w:val="left"/>
      </w:pPr>
      <w:r>
        <w:rPr>
          <w:noProof/>
          <w:lang w:bidi="he-IL"/>
        </w:rPr>
        <w:lastRenderedPageBreak/>
        <w:drawing>
          <wp:inline distT="0" distB="0" distL="0" distR="0" wp14:anchorId="2E730746" wp14:editId="0DEACC8B">
            <wp:extent cx="5943600" cy="4968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968875"/>
                    </a:xfrm>
                    <a:prstGeom prst="rect">
                      <a:avLst/>
                    </a:prstGeom>
                  </pic:spPr>
                </pic:pic>
              </a:graphicData>
            </a:graphic>
          </wp:inline>
        </w:drawing>
      </w:r>
    </w:p>
    <w:p w14:paraId="49D74AA6" w14:textId="1642E5B6" w:rsidR="005271B8" w:rsidRDefault="005271B8" w:rsidP="005449AA">
      <w:pPr>
        <w:pStyle w:val="Caption"/>
        <w:jc w:val="left"/>
      </w:pPr>
      <w:bookmarkStart w:id="59" w:name="_Ref301950961"/>
      <w:bookmarkStart w:id="60" w:name="_Toc168713278"/>
      <w:bookmarkStart w:id="61" w:name="_Toc301956304"/>
      <w:r>
        <w:t xml:space="preserve">Figure </w:t>
      </w:r>
      <w:fldSimple w:instr=" SEQ Figure \* ARABIC ">
        <w:r w:rsidR="00E57C6B">
          <w:rPr>
            <w:noProof/>
          </w:rPr>
          <w:t>10</w:t>
        </w:r>
      </w:fldSimple>
      <w:bookmarkEnd w:id="59"/>
      <w:r>
        <w:t xml:space="preserve"> – </w:t>
      </w:r>
      <w:bookmarkEnd w:id="60"/>
      <w:r w:rsidR="00A9463B">
        <w:t>RPN requirement for</w:t>
      </w:r>
      <w:r>
        <w:t xml:space="preserve"> two sensitivity curves and measured RPN of two laser systems</w:t>
      </w:r>
      <w:bookmarkEnd w:id="61"/>
      <w:r>
        <w:t>.</w:t>
      </w:r>
    </w:p>
    <w:p w14:paraId="63579FAA" w14:textId="77777777" w:rsidR="005271B8" w:rsidRDefault="005271B8" w:rsidP="005449AA">
      <w:pPr>
        <w:jc w:val="left"/>
      </w:pPr>
      <w:r>
        <w:t xml:space="preserve">Displacement noise induced at harmonics of the Pcal modulation frequencies is required to be at least a factor of 10 below the anticipated displacement sensitivity.  However, the amplitudes of the displacements induced by power fluctuations decrease with the square of the modulation frequency.  Thus the requirement for the ASD of the laser power spectrum for harmonics is given by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6864"/>
        <w:gridCol w:w="1471"/>
      </w:tblGrid>
      <w:tr w:rsidR="005271B8" w14:paraId="41553653" w14:textId="77777777" w:rsidTr="005271B8">
        <w:trPr>
          <w:jc w:val="center"/>
        </w:trPr>
        <w:tc>
          <w:tcPr>
            <w:tcW w:w="750" w:type="pct"/>
            <w:vAlign w:val="center"/>
          </w:tcPr>
          <w:p w14:paraId="33952309" w14:textId="77777777" w:rsidR="005271B8" w:rsidRDefault="005271B8" w:rsidP="005449AA">
            <w:pPr>
              <w:jc w:val="left"/>
            </w:pPr>
          </w:p>
        </w:tc>
        <w:tc>
          <w:tcPr>
            <w:tcW w:w="3500" w:type="pct"/>
          </w:tcPr>
          <w:p w14:paraId="7B6DE7C8" w14:textId="537263FC" w:rsidR="005271B8" w:rsidRDefault="00E57C6B" w:rsidP="005449AA">
            <w:pPr>
              <w:jc w:val="left"/>
            </w:pPr>
            <m:oMathPara>
              <m:oMath>
                <m:sSub>
                  <m:sSubPr>
                    <m:ctrlPr>
                      <w:rPr>
                        <w:rFonts w:ascii="Cambria Math" w:hAnsi="Cambria Math"/>
                        <w:i/>
                      </w:rPr>
                    </m:ctrlPr>
                  </m:sSubPr>
                  <m:e>
                    <m:f>
                      <m:fPr>
                        <m:ctrlPr>
                          <w:rPr>
                            <w:rFonts w:ascii="Cambria Math" w:hAnsi="Cambria Math"/>
                            <w:i/>
                          </w:rPr>
                        </m:ctrlPr>
                      </m:fPr>
                      <m:num>
                        <m:r>
                          <w:rPr>
                            <w:rFonts w:ascii="Cambria Math" w:hAnsi="Cambria Math"/>
                          </w:rPr>
                          <m:t>ΔP</m:t>
                        </m:r>
                        <m:d>
                          <m:dPr>
                            <m:ctrlPr>
                              <w:rPr>
                                <w:rFonts w:ascii="Cambria Math" w:hAnsi="Cambria Math"/>
                                <w:i/>
                              </w:rPr>
                            </m:ctrlPr>
                          </m:dPr>
                          <m:e>
                            <m:sSub>
                              <m:sSubPr>
                                <m:ctrlPr>
                                  <w:rPr>
                                    <w:rFonts w:ascii="Cambria Math" w:hAnsi="Cambria Math"/>
                                    <w:i/>
                                  </w:rPr>
                                </m:ctrlPr>
                              </m:sSubPr>
                              <m:e>
                                <m:r>
                                  <w:rPr>
                                    <w:rFonts w:ascii="Cambria Math" w:hAnsi="Cambria Math"/>
                                  </w:rPr>
                                  <m:t>nf</m:t>
                                </m:r>
                              </m:e>
                              <m:sub>
                                <m:r>
                                  <w:rPr>
                                    <w:rFonts w:ascii="Cambria Math" w:hAnsi="Cambria Math"/>
                                  </w:rPr>
                                  <m:t>0</m:t>
                                </m:r>
                              </m:sub>
                            </m:sSub>
                          </m:e>
                        </m:d>
                      </m:num>
                      <m:den>
                        <m:r>
                          <w:rPr>
                            <w:rFonts w:ascii="Cambria Math" w:hAnsi="Cambria Math"/>
                          </w:rPr>
                          <m:t>ΔP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e>
                        </m:d>
                      </m:den>
                    </m:f>
                  </m:e>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num>
                  <m:den>
                    <m:r>
                      <w:rPr>
                        <w:rFonts w:ascii="Cambria Math" w:hAnsi="Cambria Math"/>
                      </w:rPr>
                      <m:t>10 SNR</m:t>
                    </m:r>
                  </m:den>
                </m:f>
                <m:f>
                  <m:fPr>
                    <m:ctrlPr>
                      <w:rPr>
                        <w:rFonts w:ascii="Cambria Math" w:hAnsi="Cambria Math"/>
                        <w:i/>
                      </w:rPr>
                    </m:ctrlPr>
                  </m:fPr>
                  <m:num>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nf</m:t>
                            </m:r>
                          </m:e>
                          <m:sub>
                            <m:r>
                              <w:rPr>
                                <w:rFonts w:ascii="Cambria Math" w:hAnsi="Cambria Math"/>
                              </w:rPr>
                              <m:t>0</m:t>
                            </m:r>
                          </m:sub>
                        </m:sSub>
                      </m:e>
                    </m:d>
                  </m:num>
                  <m:den>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e>
                    </m:d>
                  </m:den>
                </m:f>
                <m:r>
                  <w:rPr>
                    <w:rFonts w:ascii="Cambria Math" w:hAnsi="Cambria Math"/>
                  </w:rPr>
                  <m:t xml:space="preserve"> </m:t>
                </m:r>
              </m:oMath>
            </m:oMathPara>
          </w:p>
        </w:tc>
        <w:tc>
          <w:tcPr>
            <w:tcW w:w="750" w:type="pct"/>
            <w:vAlign w:val="center"/>
          </w:tcPr>
          <w:p w14:paraId="4261E9DA" w14:textId="77777777" w:rsidR="005271B8" w:rsidRDefault="005271B8" w:rsidP="005449AA">
            <w:pPr>
              <w:jc w:val="left"/>
            </w:pPr>
            <w:bookmarkStart w:id="62" w:name="_Ref187124685"/>
            <w:r>
              <w:t>(</w:t>
            </w:r>
            <w:fldSimple w:instr=" SEQ Equation \* ARABIC ">
              <w:r w:rsidR="00E57C6B">
                <w:rPr>
                  <w:noProof/>
                </w:rPr>
                <w:t>6</w:t>
              </w:r>
            </w:fldSimple>
            <w:bookmarkEnd w:id="62"/>
            <w:r>
              <w:t>)</w:t>
            </w:r>
          </w:p>
        </w:tc>
      </w:tr>
    </w:tbl>
    <w:p w14:paraId="7D11D7BB" w14:textId="1465FB82" w:rsidR="005271B8" w:rsidRDefault="00B91569" w:rsidP="005449AA">
      <w:pPr>
        <w:jc w:val="left"/>
      </w:pPr>
      <w:proofErr w:type="gramStart"/>
      <w:r>
        <w:t>w</w:t>
      </w:r>
      <w:r w:rsidR="00A9463B">
        <w:t>here</w:t>
      </w:r>
      <w:proofErr w:type="gramEnd"/>
      <w:r w:rsidR="00A9463B">
        <w:t xml:space="preserve"> SNR is the signal to noise ratio of the injected modulation at frequency </w:t>
      </w:r>
      <w:r w:rsidR="00A9463B">
        <w:rPr>
          <w:i/>
        </w:rPr>
        <w:t>f</w:t>
      </w:r>
      <w:r w:rsidR="00A9463B">
        <w:rPr>
          <w:i/>
          <w:vertAlign w:val="subscript"/>
        </w:rPr>
        <w:t>0</w:t>
      </w:r>
      <w:r>
        <w:t xml:space="preserve"> with respect to the strain sensitivity curve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e>
        </m:d>
      </m:oMath>
      <w:r>
        <w:t xml:space="preserve"> and </w:t>
      </w:r>
      <w:r>
        <w:rPr>
          <w:i/>
        </w:rPr>
        <w:t>n</w:t>
      </w:r>
      <w:r>
        <w:t xml:space="preserve"> is the ratio of the harmonic frequency to that of the fundamental. </w:t>
      </w:r>
      <w:r w:rsidR="00A9463B">
        <w:rPr>
          <w:i/>
        </w:rPr>
        <w:t xml:space="preserve"> </w:t>
      </w:r>
      <w:r w:rsidR="005271B8">
        <w:t xml:space="preserve">Equation </w:t>
      </w:r>
      <w:r w:rsidR="005271B8">
        <w:fldChar w:fldCharType="begin"/>
      </w:r>
      <w:r w:rsidR="005271B8">
        <w:instrText xml:space="preserve"> REF _Ref187124685 \h </w:instrText>
      </w:r>
      <w:r w:rsidR="005271B8">
        <w:fldChar w:fldCharType="separate"/>
      </w:r>
      <w:r w:rsidR="00E57C6B">
        <w:t>(</w:t>
      </w:r>
      <w:r w:rsidR="00E57C6B">
        <w:rPr>
          <w:noProof/>
        </w:rPr>
        <w:t>6</w:t>
      </w:r>
      <w:r w:rsidR="005271B8">
        <w:fldChar w:fldCharType="end"/>
      </w:r>
      <w:r w:rsidR="005271B8">
        <w:t xml:space="preserve">) is plotted in </w:t>
      </w:r>
      <w:r w:rsidR="005271B8">
        <w:fldChar w:fldCharType="begin"/>
      </w:r>
      <w:r w:rsidR="005271B8">
        <w:instrText xml:space="preserve"> REF _Ref311700080 \h </w:instrText>
      </w:r>
      <w:r w:rsidR="005271B8">
        <w:fldChar w:fldCharType="separate"/>
      </w:r>
      <w:r w:rsidR="00E57C6B">
        <w:t xml:space="preserve">Figure </w:t>
      </w:r>
      <w:r w:rsidR="00E57C6B">
        <w:rPr>
          <w:noProof/>
        </w:rPr>
        <w:t>11</w:t>
      </w:r>
      <w:r w:rsidR="005271B8">
        <w:fldChar w:fldCharType="end"/>
      </w:r>
      <w:r w:rsidR="005271B8">
        <w:t xml:space="preserve"> for the first three harmonics and for both the “zero detuning, high power” and “no SRM” configurations.</w:t>
      </w:r>
    </w:p>
    <w:p w14:paraId="308E0903" w14:textId="77777777" w:rsidR="005271B8" w:rsidRDefault="005271B8" w:rsidP="005449AA">
      <w:pPr>
        <w:keepNext/>
        <w:jc w:val="left"/>
      </w:pPr>
      <w:r>
        <w:rPr>
          <w:noProof/>
          <w:lang w:bidi="he-IL"/>
        </w:rPr>
        <w:lastRenderedPageBreak/>
        <w:drawing>
          <wp:inline distT="0" distB="0" distL="0" distR="0" wp14:anchorId="781C45D5" wp14:editId="6FAFF131">
            <wp:extent cx="4678878" cy="3861574"/>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9704" cy="3862256"/>
                    </a:xfrm>
                    <a:prstGeom prst="rect">
                      <a:avLst/>
                    </a:prstGeom>
                  </pic:spPr>
                </pic:pic>
              </a:graphicData>
            </a:graphic>
          </wp:inline>
        </w:drawing>
      </w:r>
    </w:p>
    <w:p w14:paraId="53FC771B" w14:textId="77777777" w:rsidR="005271B8" w:rsidRDefault="005271B8" w:rsidP="005449AA">
      <w:pPr>
        <w:pStyle w:val="Caption"/>
        <w:jc w:val="left"/>
      </w:pPr>
      <w:bookmarkStart w:id="63" w:name="_Ref311700080"/>
      <w:r>
        <w:t xml:space="preserve">Figure </w:t>
      </w:r>
      <w:fldSimple w:instr=" SEQ Figure \* ARABIC ">
        <w:r w:rsidR="00E57C6B">
          <w:rPr>
            <w:noProof/>
          </w:rPr>
          <w:t>11</w:t>
        </w:r>
      </w:fldSimple>
      <w:bookmarkEnd w:id="63"/>
      <w:r>
        <w:t xml:space="preserve"> – Maximum allowable relative harmonic noise for the first four multiples of the frequency of the fundamental for both the “no SRM” and “zero-detuning, high power” configurations.</w:t>
      </w:r>
    </w:p>
    <w:p w14:paraId="0EF9C1E3" w14:textId="436D5EDA" w:rsidR="005271B8" w:rsidRPr="00CC6746" w:rsidRDefault="005271B8" w:rsidP="005449AA">
      <w:pPr>
        <w:jc w:val="left"/>
      </w:pPr>
      <w:r>
        <w:t>Suppressing both the power modulation at harmonics of the Pcal fundamental frequencies and inherent laser power fluctuations will require a power stabilization servo.  We refer to this servo</w:t>
      </w:r>
      <w:r w:rsidR="00B91569">
        <w:t xml:space="preserve"> as</w:t>
      </w:r>
      <w:r>
        <w:t xml:space="preserve"> the </w:t>
      </w:r>
      <w:r w:rsidRPr="00CC6746">
        <w:rPr>
          <w:i/>
        </w:rPr>
        <w:t>Optical Follower</w:t>
      </w:r>
      <w:r>
        <w:t xml:space="preserve"> servo because we intend to inject the desired sinusoidal waveforms at the error point of the servo so that the servo will impress these waveforms on the </w:t>
      </w:r>
      <w:r w:rsidR="00B91569">
        <w:t xml:space="preserve">modulated output </w:t>
      </w:r>
      <w:r>
        <w:t>power.</w:t>
      </w:r>
      <w:r w:rsidR="00B91569">
        <w:t xml:space="preserve">  </w:t>
      </w:r>
      <w:r>
        <w:t>See “Overview of Photon Calibrator Electronics” (</w:t>
      </w:r>
      <w:hyperlink r:id="rId51" w:history="1">
        <w:r w:rsidRPr="00890BEF">
          <w:rPr>
            <w:rStyle w:val="Hyperlink"/>
          </w:rPr>
          <w:t>LIGO-T1100556</w:t>
        </w:r>
      </w:hyperlink>
      <w:r>
        <w:t xml:space="preserve">) for a </w:t>
      </w:r>
      <w:r w:rsidR="00B91569">
        <w:t>more detailed</w:t>
      </w:r>
      <w:r>
        <w:t xml:space="preserve"> discussion of this noise suppression servo.</w:t>
      </w:r>
    </w:p>
    <w:p w14:paraId="45174BE3" w14:textId="77777777" w:rsidR="005271B8" w:rsidRDefault="005271B8" w:rsidP="005449AA">
      <w:pPr>
        <w:pStyle w:val="Heading2"/>
        <w:jc w:val="left"/>
      </w:pPr>
      <w:bookmarkStart w:id="64" w:name="_Toc321729349"/>
      <w:r>
        <w:t>UTC Synchronization</w:t>
      </w:r>
      <w:bookmarkEnd w:id="64"/>
    </w:p>
    <w:p w14:paraId="22B0B53F" w14:textId="58FAF124" w:rsidR="005271B8" w:rsidRDefault="005271B8" w:rsidP="005449AA">
      <w:pPr>
        <w:jc w:val="left"/>
      </w:pPr>
      <w:r>
        <w:t>All excitations shall be independently and directly synchronized to UTC via GPS. See “Overview of Photon Calibrator Electronics” (</w:t>
      </w:r>
      <w:hyperlink r:id="rId52" w:history="1">
        <w:r w:rsidRPr="00890BEF">
          <w:rPr>
            <w:rStyle w:val="Hyperlink"/>
          </w:rPr>
          <w:t>LIGO-T1100556</w:t>
        </w:r>
      </w:hyperlink>
      <w:r>
        <w:t>) for a full discussion of timing synchronization with UTC.</w:t>
      </w:r>
    </w:p>
    <w:p w14:paraId="20ED833A" w14:textId="77777777" w:rsidR="003E3456" w:rsidRDefault="003E3456" w:rsidP="005449AA">
      <w:pPr>
        <w:pStyle w:val="Heading2"/>
        <w:jc w:val="left"/>
      </w:pPr>
      <w:bookmarkStart w:id="65" w:name="_Toc170193761"/>
      <w:bookmarkStart w:id="66" w:name="_Toc321729350"/>
      <w:r>
        <w:t>Laser Wavelength</w:t>
      </w:r>
      <w:bookmarkEnd w:id="65"/>
      <w:bookmarkEnd w:id="66"/>
    </w:p>
    <w:p w14:paraId="504FD00E" w14:textId="66729A3A" w:rsidR="003E3456" w:rsidRDefault="003E3456" w:rsidP="005449AA">
      <w:pPr>
        <w:jc w:val="left"/>
      </w:pPr>
      <w:r>
        <w:t>There are two criteria for choosing the wavelength of the Photon Calibrator laser. First, the wavelength must be sufficiently distant from the interferometer laser</w:t>
      </w:r>
      <w:r w:rsidR="00CD62A3">
        <w:t xml:space="preserve"> wavelength</w:t>
      </w:r>
      <w:r>
        <w:t xml:space="preserve"> to prevent noise from scattered light </w:t>
      </w:r>
      <w:r w:rsidR="00CD62A3">
        <w:t xml:space="preserve">coupling </w:t>
      </w:r>
      <w:r>
        <w:t>into the interferometer</w:t>
      </w:r>
      <w:r w:rsidR="00B91569">
        <w:t xml:space="preserve"> signals</w:t>
      </w:r>
      <w:r>
        <w:t xml:space="preserve">.  </w:t>
      </w:r>
      <w:r w:rsidR="00CD62A3">
        <w:t xml:space="preserve">We assume </w:t>
      </w:r>
      <w:r w:rsidR="005B3A96">
        <w:t xml:space="preserve">that </w:t>
      </w:r>
      <w:r w:rsidR="00CD62A3">
        <w:t>the wavelengths must be separated by</w:t>
      </w:r>
      <w:r>
        <w:t xml:space="preserve"> at least 0.3</w:t>
      </w:r>
      <w:r w:rsidR="00CD62A3">
        <w:t xml:space="preserve"> </w:t>
      </w:r>
      <w:r>
        <w:t xml:space="preserve">nm </w:t>
      </w:r>
      <w:r w:rsidR="00CD62A3">
        <w:t>to be outside the nominal tuning range of the NPROs that dictate th</w:t>
      </w:r>
      <w:r w:rsidR="00B91569">
        <w:t xml:space="preserve">e frequencies of the aLIGO PSLs. </w:t>
      </w:r>
      <w:r>
        <w:t xml:space="preserve">Second, </w:t>
      </w:r>
      <w:r w:rsidR="00CD62A3">
        <w:t>we want to maintain high reflectivity on the HR coating</w:t>
      </w:r>
      <w:r w:rsidR="00B91569">
        <w:t>s</w:t>
      </w:r>
      <w:r w:rsidR="00CD62A3">
        <w:t xml:space="preserve"> of the ETM</w:t>
      </w:r>
      <w:r w:rsidR="00B91569">
        <w:t>s</w:t>
      </w:r>
      <w:r w:rsidR="00CD62A3">
        <w:t>.</w:t>
      </w:r>
      <w:r>
        <w:t xml:space="preserve"> </w:t>
      </w:r>
    </w:p>
    <w:p w14:paraId="6FD48047" w14:textId="4DE029E6" w:rsidR="003F690B" w:rsidRDefault="00E23A06" w:rsidP="005449AA">
      <w:pPr>
        <w:pStyle w:val="Heading2"/>
        <w:jc w:val="left"/>
      </w:pPr>
      <w:bookmarkStart w:id="67" w:name="_Toc321729351"/>
      <w:r>
        <w:lastRenderedPageBreak/>
        <w:t>C</w:t>
      </w:r>
      <w:r w:rsidR="00642184">
        <w:t>ontinuous Excitation lines</w:t>
      </w:r>
      <w:bookmarkEnd w:id="67"/>
    </w:p>
    <w:p w14:paraId="464A05CD" w14:textId="2E40BDA0" w:rsidR="003F690B" w:rsidRPr="00380364" w:rsidRDefault="003F690B" w:rsidP="005449AA">
      <w:pPr>
        <w:jc w:val="left"/>
      </w:pPr>
      <w:r>
        <w:t xml:space="preserve">Each Pcal shall operate continuously, simultaneously inducing periodic displacements of the ETMs at several frequencies. </w:t>
      </w:r>
      <w:r w:rsidR="00FA7A24">
        <w:t>See “Overview of Photon Calibrator Electronics” (</w:t>
      </w:r>
      <w:hyperlink r:id="rId53" w:history="1">
        <w:r w:rsidR="00FA7A24" w:rsidRPr="00890BEF">
          <w:rPr>
            <w:rStyle w:val="Hyperlink"/>
          </w:rPr>
          <w:t>LIGO-T1100556</w:t>
        </w:r>
      </w:hyperlink>
      <w:r w:rsidR="00B91569">
        <w:t>) for a detailed</w:t>
      </w:r>
      <w:r w:rsidR="00FA7A24">
        <w:t xml:space="preserve"> discussion of how these excitations are implemented.</w:t>
      </w:r>
    </w:p>
    <w:p w14:paraId="306533E7" w14:textId="77777777" w:rsidR="003F690B" w:rsidRDefault="003F690B" w:rsidP="005449AA">
      <w:pPr>
        <w:pStyle w:val="Heading2"/>
        <w:jc w:val="left"/>
      </w:pPr>
      <w:bookmarkStart w:id="68" w:name="_Toc321729352"/>
      <w:r>
        <w:t>Swept-Sine Measurements</w:t>
      </w:r>
      <w:bookmarkEnd w:id="68"/>
    </w:p>
    <w:p w14:paraId="358502E1" w14:textId="071CC7C4" w:rsidR="003F690B" w:rsidRDefault="00CD62A3" w:rsidP="00CE29A5">
      <w:pPr>
        <w:jc w:val="left"/>
      </w:pPr>
      <w:r>
        <w:t xml:space="preserve">The </w:t>
      </w:r>
      <w:r w:rsidR="003F690B">
        <w:t>Pcal</w:t>
      </w:r>
      <w:r>
        <w:t>s</w:t>
      </w:r>
      <w:r w:rsidR="003F690B">
        <w:t xml:space="preserve"> shall be capable of </w:t>
      </w:r>
      <w:r w:rsidR="00BD63C8">
        <w:t xml:space="preserve">performing swept </w:t>
      </w:r>
      <w:r w:rsidR="003F690B">
        <w:t>sine measurements of the interferometer length response from 10 Hz to 1 kHz in less than 1 hour with coherence of 99% or better using CDS software.</w:t>
      </w:r>
    </w:p>
    <w:p w14:paraId="1019008B" w14:textId="77777777" w:rsidR="003F690B" w:rsidRDefault="003F690B" w:rsidP="005449AA">
      <w:pPr>
        <w:pStyle w:val="Heading2"/>
        <w:jc w:val="left"/>
      </w:pPr>
      <w:bookmarkStart w:id="69" w:name="_Toc292192996"/>
      <w:bookmarkStart w:id="70" w:name="_Toc321729353"/>
      <w:r>
        <w:t>Reliability</w:t>
      </w:r>
      <w:bookmarkEnd w:id="69"/>
      <w:bookmarkEnd w:id="70"/>
    </w:p>
    <w:p w14:paraId="2A369E61" w14:textId="548B3CAE" w:rsidR="003F690B" w:rsidRDefault="003F690B" w:rsidP="005449AA">
      <w:pPr>
        <w:jc w:val="left"/>
      </w:pPr>
      <w:r>
        <w:t xml:space="preserve">Mean Time </w:t>
      </w:r>
      <w:proofErr w:type="gramStart"/>
      <w:r>
        <w:t>Between</w:t>
      </w:r>
      <w:proofErr w:type="gramEnd"/>
      <w:r>
        <w:t xml:space="preserve"> Failure</w:t>
      </w:r>
      <w:r w:rsidR="00480847">
        <w:t>s</w:t>
      </w:r>
      <w:r>
        <w:t xml:space="preserve"> </w:t>
      </w:r>
      <w:r w:rsidR="00CD62A3">
        <w:t xml:space="preserve">(MTBF) </w:t>
      </w:r>
      <w:r>
        <w:t xml:space="preserve">for out-of-vacuum components, including lasers and electronics, shall be at least 10,000 hours. </w:t>
      </w:r>
      <w:r w:rsidR="00B91569">
        <w:t xml:space="preserve">The </w:t>
      </w:r>
      <w:r>
        <w:t>Pcal</w:t>
      </w:r>
      <w:r w:rsidR="00B91569">
        <w:t>s do</w:t>
      </w:r>
      <w:r>
        <w:t xml:space="preserve"> not include active in-chamber components.</w:t>
      </w:r>
      <w:r w:rsidR="003744F2">
        <w:t xml:space="preserve"> See Section </w:t>
      </w:r>
      <w:r w:rsidR="003744F2">
        <w:fldChar w:fldCharType="begin"/>
      </w:r>
      <w:r w:rsidR="003744F2">
        <w:instrText xml:space="preserve"> REF _Ref311528779 \r \h </w:instrText>
      </w:r>
      <w:r w:rsidR="003744F2">
        <w:fldChar w:fldCharType="separate"/>
      </w:r>
      <w:r w:rsidR="00E57C6B">
        <w:rPr>
          <w:cs/>
        </w:rPr>
        <w:t>‎</w:t>
      </w:r>
      <w:r w:rsidR="00E57C6B">
        <w:t>8</w:t>
      </w:r>
      <w:r w:rsidR="003744F2">
        <w:fldChar w:fldCharType="end"/>
      </w:r>
      <w:r w:rsidR="003744F2">
        <w:t>, “Failure Modes a</w:t>
      </w:r>
      <w:r w:rsidR="00CD62A3">
        <w:t>nd Hazards,” for a discussion of</w:t>
      </w:r>
      <w:r w:rsidR="003744F2">
        <w:t xml:space="preserve"> the reliability of </w:t>
      </w:r>
      <w:r w:rsidR="00CD62A3">
        <w:t xml:space="preserve">the </w:t>
      </w:r>
      <w:r w:rsidR="003744F2">
        <w:t>Pcal</w:t>
      </w:r>
      <w:r w:rsidR="00CD62A3">
        <w:t>s</w:t>
      </w:r>
      <w:r w:rsidR="003744F2">
        <w:t>.</w:t>
      </w:r>
    </w:p>
    <w:p w14:paraId="6DAE2EA3" w14:textId="2E442AFB" w:rsidR="00A01613" w:rsidRDefault="00A01613" w:rsidP="005449AA">
      <w:pPr>
        <w:pStyle w:val="Heading1"/>
        <w:jc w:val="left"/>
      </w:pPr>
      <w:bookmarkStart w:id="71" w:name="_Ref311553217"/>
      <w:bookmarkStart w:id="72" w:name="_Toc170193754"/>
      <w:bookmarkStart w:id="73" w:name="_Ref170194750"/>
      <w:bookmarkStart w:id="74" w:name="_Ref311557044"/>
      <w:bookmarkStart w:id="75" w:name="_Toc321729354"/>
      <w:bookmarkEnd w:id="12"/>
      <w:r>
        <w:t xml:space="preserve">In-Vacuum Systems: Beam </w:t>
      </w:r>
      <w:r w:rsidR="007051EE">
        <w:t>Paths and</w:t>
      </w:r>
      <w:r>
        <w:t xml:space="preserve"> Periscopes</w:t>
      </w:r>
      <w:bookmarkEnd w:id="71"/>
      <w:bookmarkEnd w:id="75"/>
    </w:p>
    <w:p w14:paraId="53C7AE0A" w14:textId="17161496" w:rsidR="007051EE" w:rsidRDefault="007051EE" w:rsidP="005449AA">
      <w:pPr>
        <w:jc w:val="left"/>
      </w:pPr>
      <w:r>
        <w:t xml:space="preserve">For aLIGO, the main interferometer beams will be situated as shown in </w:t>
      </w:r>
      <w:r>
        <w:fldChar w:fldCharType="begin"/>
      </w:r>
      <w:r>
        <w:instrText xml:space="preserve"> REF _Ref187128327 \h </w:instrText>
      </w:r>
      <w:r>
        <w:fldChar w:fldCharType="separate"/>
      </w:r>
      <w:r w:rsidR="00E57C6B">
        <w:t xml:space="preserve">Figure </w:t>
      </w:r>
      <w:r w:rsidR="00E57C6B">
        <w:rPr>
          <w:noProof/>
        </w:rPr>
        <w:t>12</w:t>
      </w:r>
      <w:r>
        <w:fldChar w:fldCharType="end"/>
      </w:r>
      <w:r>
        <w:t>.  The ETMs are displaced by 20 cm horizontally</w:t>
      </w:r>
      <w:r w:rsidR="00B91569">
        <w:t xml:space="preserve"> to either side of </w:t>
      </w:r>
      <w:r>
        <w:t xml:space="preserve">the beam tube centerline and sit 8 cm below it.  Because of the locations of the Optical Lever </w:t>
      </w:r>
      <w:r w:rsidR="00B91569">
        <w:t xml:space="preserve">vacuum windows and </w:t>
      </w:r>
      <w:r>
        <w:t>receiver pylons, the Pcal transmitter pylons are located such that the Pcals transmit across the beam tube centerline</w:t>
      </w:r>
      <w:r w:rsidR="00B91569">
        <w:t>s</w:t>
      </w:r>
      <w:r>
        <w:t xml:space="preserve"> to reach the ETM</w:t>
      </w:r>
      <w:r w:rsidR="00B91569">
        <w:t>s</w:t>
      </w:r>
      <w:r>
        <w:t xml:space="preserve">.  </w:t>
      </w:r>
      <w:r>
        <w:fldChar w:fldCharType="begin"/>
      </w:r>
      <w:r>
        <w:instrText xml:space="preserve"> REF _Ref301956335 \h </w:instrText>
      </w:r>
      <w:r>
        <w:fldChar w:fldCharType="separate"/>
      </w:r>
      <w:r w:rsidR="00E57C6B">
        <w:t xml:space="preserve">Figure </w:t>
      </w:r>
      <w:r w:rsidR="00E57C6B">
        <w:rPr>
          <w:noProof/>
        </w:rPr>
        <w:t>13</w:t>
      </w:r>
      <w:r>
        <w:fldChar w:fldCharType="end"/>
      </w:r>
      <w:r>
        <w:t xml:space="preserve"> shows the location of the Pcal and Optical Lever pylons for the L1 Y-end</w:t>
      </w:r>
      <w:r w:rsidR="00376E47">
        <w:t>,</w:t>
      </w:r>
      <w:r>
        <w:t xml:space="preserve"> which is typical of all end stations. </w:t>
      </w:r>
    </w:p>
    <w:p w14:paraId="23631815" w14:textId="77777777" w:rsidR="007051EE" w:rsidRDefault="007051EE" w:rsidP="005449AA">
      <w:pPr>
        <w:keepNext/>
        <w:jc w:val="left"/>
      </w:pPr>
      <w:r>
        <w:rPr>
          <w:noProof/>
          <w:lang w:bidi="he-IL"/>
        </w:rPr>
        <w:lastRenderedPageBreak/>
        <w:drawing>
          <wp:inline distT="0" distB="0" distL="0" distR="0" wp14:anchorId="3FDEC5F8" wp14:editId="3F457E34">
            <wp:extent cx="5237133" cy="3657600"/>
            <wp:effectExtent l="0" t="0" r="0" b="0"/>
            <wp:docPr id="28912" name="Picture 2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37133" cy="3657600"/>
                    </a:xfrm>
                    <a:prstGeom prst="rect">
                      <a:avLst/>
                    </a:prstGeom>
                  </pic:spPr>
                </pic:pic>
              </a:graphicData>
            </a:graphic>
          </wp:inline>
        </w:drawing>
      </w:r>
    </w:p>
    <w:p w14:paraId="625675A5" w14:textId="5EA4DE19" w:rsidR="007051EE" w:rsidRDefault="007051EE" w:rsidP="005449AA">
      <w:pPr>
        <w:pStyle w:val="Caption"/>
        <w:jc w:val="left"/>
      </w:pPr>
      <w:bookmarkStart w:id="76" w:name="_Ref187128327"/>
      <w:bookmarkStart w:id="77" w:name="_Toc168713304"/>
      <w:bookmarkStart w:id="78" w:name="_Toc311535658"/>
      <w:r>
        <w:t xml:space="preserve">Figure </w:t>
      </w:r>
      <w:fldSimple w:instr=" SEQ Figure \* ARABIC ">
        <w:r w:rsidR="00E57C6B">
          <w:rPr>
            <w:noProof/>
          </w:rPr>
          <w:t>12</w:t>
        </w:r>
      </w:fldSimple>
      <w:bookmarkEnd w:id="76"/>
      <w:r>
        <w:t xml:space="preserve"> – LHO (H1 and H2) Beam Layout.  </w:t>
      </w:r>
      <w:r w:rsidR="005B3A96">
        <w:t>The H2 b</w:t>
      </w:r>
      <w:r w:rsidR="00376E47">
        <w:t>eam</w:t>
      </w:r>
      <w:r w:rsidR="005B3A96">
        <w:t>s</w:t>
      </w:r>
      <w:r w:rsidR="00376E47">
        <w:t xml:space="preserve"> are to</w:t>
      </w:r>
      <w:r>
        <w:t xml:space="preserve"> the inside of the beam tube</w:t>
      </w:r>
      <w:r w:rsidR="00376E47">
        <w:t>s and do</w:t>
      </w:r>
      <w:r>
        <w:t xml:space="preserve"> not cross the H1 beam</w:t>
      </w:r>
      <w:r w:rsidR="00376E47">
        <w:t>s</w:t>
      </w:r>
      <w:r>
        <w:t xml:space="preserve"> (</w:t>
      </w:r>
      <w:hyperlink r:id="rId55" w:history="1">
        <w:r w:rsidRPr="005C0912">
          <w:rPr>
            <w:rStyle w:val="Hyperlink"/>
          </w:rPr>
          <w:t>LIGO-D0901477-v2</w:t>
        </w:r>
      </w:hyperlink>
      <w:bookmarkEnd w:id="77"/>
      <w:bookmarkEnd w:id="78"/>
      <w:r>
        <w:t>).</w:t>
      </w:r>
    </w:p>
    <w:p w14:paraId="62C338DC" w14:textId="77777777" w:rsidR="007051EE" w:rsidRDefault="007051EE" w:rsidP="005449AA">
      <w:pPr>
        <w:keepNext/>
        <w:jc w:val="left"/>
      </w:pPr>
      <w:r>
        <w:rPr>
          <w:noProof/>
          <w:lang w:bidi="he-IL"/>
        </w:rPr>
        <w:drawing>
          <wp:inline distT="0" distB="0" distL="0" distR="0" wp14:anchorId="3C59E52B" wp14:editId="5FB96561">
            <wp:extent cx="3189427" cy="312161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190332" cy="3122504"/>
                    </a:xfrm>
                    <a:prstGeom prst="rect">
                      <a:avLst/>
                    </a:prstGeom>
                  </pic:spPr>
                </pic:pic>
              </a:graphicData>
            </a:graphic>
          </wp:inline>
        </w:drawing>
      </w:r>
    </w:p>
    <w:p w14:paraId="7324546C" w14:textId="2653049C" w:rsidR="007051EE" w:rsidRDefault="007051EE" w:rsidP="005449AA">
      <w:pPr>
        <w:pStyle w:val="Caption"/>
        <w:jc w:val="left"/>
      </w:pPr>
      <w:bookmarkStart w:id="79" w:name="_Ref301956335"/>
      <w:bookmarkStart w:id="80" w:name="_Toc168713299"/>
      <w:bookmarkStart w:id="81" w:name="_Toc311535655"/>
      <w:r>
        <w:t xml:space="preserve">Figure </w:t>
      </w:r>
      <w:fldSimple w:instr=" SEQ Figure \* ARABIC ">
        <w:r w:rsidR="00E57C6B">
          <w:rPr>
            <w:noProof/>
          </w:rPr>
          <w:t>13</w:t>
        </w:r>
      </w:fldSimple>
      <w:bookmarkEnd w:id="79"/>
      <w:r>
        <w:t xml:space="preserve"> – View of L1 ETMY</w:t>
      </w:r>
      <w:bookmarkEnd w:id="80"/>
      <w:bookmarkEnd w:id="81"/>
      <w:r w:rsidR="00376E47">
        <w:t>, looking from the corner station.  The Pcal transmitter pylon is on the right with the short Optical Lever transmitter pylon in the middle and the tall Optical Lever receiver pylon (which also houses the Pcal receiver module) shown on the left.</w:t>
      </w:r>
    </w:p>
    <w:p w14:paraId="06E486FA" w14:textId="2B7F3052" w:rsidR="00B7708F" w:rsidRDefault="00B7708F" w:rsidP="005449AA">
      <w:pPr>
        <w:jc w:val="left"/>
      </w:pPr>
      <w:r>
        <w:lastRenderedPageBreak/>
        <w:t xml:space="preserve">The “handedness” of the six Pcal configurations is tabulated in </w:t>
      </w:r>
      <w:r>
        <w:fldChar w:fldCharType="begin"/>
      </w:r>
      <w:r>
        <w:instrText xml:space="preserve"> REF _Ref187129706 \h </w:instrText>
      </w:r>
      <w:r>
        <w:fldChar w:fldCharType="separate"/>
      </w:r>
      <w:r w:rsidR="00E57C6B">
        <w:t xml:space="preserve">Table </w:t>
      </w:r>
      <w:r w:rsidR="00E57C6B">
        <w:rPr>
          <w:noProof/>
        </w:rPr>
        <w:t>2</w:t>
      </w:r>
      <w:r>
        <w:fldChar w:fldCharType="end"/>
      </w:r>
      <w:r>
        <w:t>.  The layout of the Pcal transmitter module has been designed to easily switch between a right-</w:t>
      </w:r>
      <w:r w:rsidR="005B3A96">
        <w:t>handed and</w:t>
      </w:r>
      <w:r>
        <w:t xml:space="preserve"> left-handed configuration by simply rotating two mirror mounts.</w:t>
      </w:r>
    </w:p>
    <w:p w14:paraId="66A97651" w14:textId="40A8AF3E" w:rsidR="00B7708F" w:rsidRDefault="00B7708F" w:rsidP="005449AA">
      <w:pPr>
        <w:pStyle w:val="Caption"/>
        <w:keepNext/>
        <w:jc w:val="left"/>
      </w:pPr>
      <w:bookmarkStart w:id="82" w:name="_Ref187129706"/>
      <w:r>
        <w:t xml:space="preserve">Table </w:t>
      </w:r>
      <w:fldSimple w:instr=" SEQ Table \* ARABIC ">
        <w:r w:rsidR="00E57C6B">
          <w:rPr>
            <w:noProof/>
          </w:rPr>
          <w:t>2</w:t>
        </w:r>
      </w:fldSimple>
      <w:bookmarkEnd w:id="82"/>
      <w:r w:rsidR="005271B8">
        <w:rPr>
          <w:noProof/>
        </w:rPr>
        <w:t xml:space="preserve"> – Handedness of Pcal modules, facing the HR s</w:t>
      </w:r>
      <w:r>
        <w:rPr>
          <w:noProof/>
        </w:rPr>
        <w:t>urface of the ETM</w:t>
      </w:r>
    </w:p>
    <w:tbl>
      <w:tblPr>
        <w:tblStyle w:val="TableGrid"/>
        <w:tblW w:w="0" w:type="auto"/>
        <w:tblLook w:val="04A0" w:firstRow="1" w:lastRow="0" w:firstColumn="1" w:lastColumn="0" w:noHBand="0" w:noVBand="1"/>
      </w:tblPr>
      <w:tblGrid>
        <w:gridCol w:w="2173"/>
        <w:gridCol w:w="1866"/>
        <w:gridCol w:w="2036"/>
        <w:gridCol w:w="2006"/>
        <w:gridCol w:w="1725"/>
      </w:tblGrid>
      <w:tr w:rsidR="00B7708F" w14:paraId="2292B9FF" w14:textId="77777777" w:rsidTr="00B7708F">
        <w:trPr>
          <w:cantSplit/>
        </w:trPr>
        <w:tc>
          <w:tcPr>
            <w:tcW w:w="2173" w:type="dxa"/>
          </w:tcPr>
          <w:p w14:paraId="0E2CFB30" w14:textId="77777777" w:rsidR="00B7708F" w:rsidRDefault="00B7708F" w:rsidP="005449AA">
            <w:pPr>
              <w:jc w:val="left"/>
            </w:pPr>
            <w:r>
              <w:t>Interferometer</w:t>
            </w:r>
          </w:p>
        </w:tc>
        <w:tc>
          <w:tcPr>
            <w:tcW w:w="1866" w:type="dxa"/>
          </w:tcPr>
          <w:p w14:paraId="6EAD1A48" w14:textId="77777777" w:rsidR="00B7708F" w:rsidRDefault="00B7708F" w:rsidP="005449AA">
            <w:pPr>
              <w:jc w:val="left"/>
            </w:pPr>
            <w:r>
              <w:t>Arm</w:t>
            </w:r>
          </w:p>
        </w:tc>
        <w:tc>
          <w:tcPr>
            <w:tcW w:w="2036" w:type="dxa"/>
          </w:tcPr>
          <w:p w14:paraId="01D61EB1" w14:textId="37CF40DC" w:rsidR="00B7708F" w:rsidRDefault="00B7708F" w:rsidP="005449AA">
            <w:pPr>
              <w:jc w:val="left"/>
            </w:pPr>
            <w:r>
              <w:t>Transmit side</w:t>
            </w:r>
          </w:p>
        </w:tc>
        <w:tc>
          <w:tcPr>
            <w:tcW w:w="2006" w:type="dxa"/>
          </w:tcPr>
          <w:p w14:paraId="0E641A63" w14:textId="5889BD25" w:rsidR="00B7708F" w:rsidRDefault="00B7708F" w:rsidP="005449AA">
            <w:pPr>
              <w:jc w:val="left"/>
            </w:pPr>
            <w:r>
              <w:t>Receive side</w:t>
            </w:r>
          </w:p>
        </w:tc>
        <w:tc>
          <w:tcPr>
            <w:tcW w:w="1725" w:type="dxa"/>
          </w:tcPr>
          <w:p w14:paraId="3154F048" w14:textId="77777777" w:rsidR="00B7708F" w:rsidRDefault="00B7708F" w:rsidP="005449AA">
            <w:pPr>
              <w:jc w:val="left"/>
            </w:pPr>
            <w:r>
              <w:t>DCC#</w:t>
            </w:r>
          </w:p>
        </w:tc>
      </w:tr>
      <w:tr w:rsidR="00B7708F" w14:paraId="6161D6B2" w14:textId="77777777" w:rsidTr="00B7708F">
        <w:trPr>
          <w:cantSplit/>
        </w:trPr>
        <w:tc>
          <w:tcPr>
            <w:tcW w:w="2173" w:type="dxa"/>
            <w:vMerge w:val="restart"/>
          </w:tcPr>
          <w:p w14:paraId="71F63C2F" w14:textId="77777777" w:rsidR="00B7708F" w:rsidRDefault="00B7708F" w:rsidP="005449AA">
            <w:pPr>
              <w:jc w:val="left"/>
            </w:pPr>
            <w:r>
              <w:t>H1</w:t>
            </w:r>
          </w:p>
        </w:tc>
        <w:tc>
          <w:tcPr>
            <w:tcW w:w="1866" w:type="dxa"/>
          </w:tcPr>
          <w:p w14:paraId="0E6FBB08" w14:textId="77777777" w:rsidR="00B7708F" w:rsidRDefault="00B7708F" w:rsidP="005449AA">
            <w:pPr>
              <w:jc w:val="left"/>
            </w:pPr>
            <w:r>
              <w:t>X</w:t>
            </w:r>
          </w:p>
        </w:tc>
        <w:tc>
          <w:tcPr>
            <w:tcW w:w="2036" w:type="dxa"/>
          </w:tcPr>
          <w:p w14:paraId="6F66E15E" w14:textId="77777777" w:rsidR="00B7708F" w:rsidRDefault="00B7708F" w:rsidP="005449AA">
            <w:pPr>
              <w:jc w:val="left"/>
            </w:pPr>
            <w:r>
              <w:t>L</w:t>
            </w:r>
          </w:p>
        </w:tc>
        <w:tc>
          <w:tcPr>
            <w:tcW w:w="2006" w:type="dxa"/>
          </w:tcPr>
          <w:p w14:paraId="58E0CD95" w14:textId="77777777" w:rsidR="00B7708F" w:rsidRDefault="00B7708F" w:rsidP="005449AA">
            <w:pPr>
              <w:jc w:val="left"/>
            </w:pPr>
            <w:r>
              <w:t>R</w:t>
            </w:r>
          </w:p>
        </w:tc>
        <w:tc>
          <w:tcPr>
            <w:tcW w:w="1725" w:type="dxa"/>
          </w:tcPr>
          <w:p w14:paraId="433B9F7A" w14:textId="77777777" w:rsidR="00B7708F" w:rsidRDefault="00E57C6B" w:rsidP="005449AA">
            <w:pPr>
              <w:jc w:val="left"/>
            </w:pPr>
            <w:hyperlink r:id="rId57" w:history="1">
              <w:r w:rsidR="00B7708F" w:rsidRPr="00732905">
                <w:rPr>
                  <w:rStyle w:val="Hyperlink"/>
                </w:rPr>
                <w:t>D0901468</w:t>
              </w:r>
            </w:hyperlink>
          </w:p>
        </w:tc>
      </w:tr>
      <w:tr w:rsidR="00B7708F" w14:paraId="7E978E99" w14:textId="77777777" w:rsidTr="00B7708F">
        <w:trPr>
          <w:cantSplit/>
        </w:trPr>
        <w:tc>
          <w:tcPr>
            <w:tcW w:w="2173" w:type="dxa"/>
            <w:vMerge/>
          </w:tcPr>
          <w:p w14:paraId="01766088" w14:textId="77777777" w:rsidR="00B7708F" w:rsidRDefault="00B7708F" w:rsidP="005449AA">
            <w:pPr>
              <w:jc w:val="left"/>
            </w:pPr>
          </w:p>
        </w:tc>
        <w:tc>
          <w:tcPr>
            <w:tcW w:w="1866" w:type="dxa"/>
          </w:tcPr>
          <w:p w14:paraId="3561EA2B" w14:textId="77777777" w:rsidR="00B7708F" w:rsidRDefault="00B7708F" w:rsidP="005449AA">
            <w:pPr>
              <w:jc w:val="left"/>
            </w:pPr>
            <w:r>
              <w:t>Y</w:t>
            </w:r>
          </w:p>
        </w:tc>
        <w:tc>
          <w:tcPr>
            <w:tcW w:w="2036" w:type="dxa"/>
          </w:tcPr>
          <w:p w14:paraId="08614646" w14:textId="77777777" w:rsidR="00B7708F" w:rsidRDefault="00B7708F" w:rsidP="005449AA">
            <w:pPr>
              <w:jc w:val="left"/>
            </w:pPr>
            <w:r>
              <w:t>R</w:t>
            </w:r>
          </w:p>
        </w:tc>
        <w:tc>
          <w:tcPr>
            <w:tcW w:w="2006" w:type="dxa"/>
          </w:tcPr>
          <w:p w14:paraId="16D1917F" w14:textId="77777777" w:rsidR="00B7708F" w:rsidRDefault="00B7708F" w:rsidP="005449AA">
            <w:pPr>
              <w:jc w:val="left"/>
            </w:pPr>
            <w:r>
              <w:t>L</w:t>
            </w:r>
          </w:p>
        </w:tc>
        <w:tc>
          <w:tcPr>
            <w:tcW w:w="1725" w:type="dxa"/>
          </w:tcPr>
          <w:p w14:paraId="00C7731B" w14:textId="77777777" w:rsidR="00B7708F" w:rsidRDefault="00E57C6B" w:rsidP="005449AA">
            <w:pPr>
              <w:jc w:val="left"/>
            </w:pPr>
            <w:hyperlink r:id="rId58" w:history="1">
              <w:r w:rsidR="00B7708F" w:rsidRPr="00732905">
                <w:rPr>
                  <w:rStyle w:val="Hyperlink"/>
                </w:rPr>
                <w:t>D0901467</w:t>
              </w:r>
            </w:hyperlink>
          </w:p>
        </w:tc>
      </w:tr>
      <w:tr w:rsidR="00B7708F" w14:paraId="77092CB6" w14:textId="77777777" w:rsidTr="00B7708F">
        <w:trPr>
          <w:cantSplit/>
        </w:trPr>
        <w:tc>
          <w:tcPr>
            <w:tcW w:w="2173" w:type="dxa"/>
            <w:vMerge w:val="restart"/>
          </w:tcPr>
          <w:p w14:paraId="174681D7" w14:textId="77777777" w:rsidR="00B7708F" w:rsidRDefault="00B7708F" w:rsidP="005449AA">
            <w:pPr>
              <w:jc w:val="left"/>
            </w:pPr>
            <w:r>
              <w:t>H2</w:t>
            </w:r>
          </w:p>
        </w:tc>
        <w:tc>
          <w:tcPr>
            <w:tcW w:w="1866" w:type="dxa"/>
          </w:tcPr>
          <w:p w14:paraId="06EFD6AC" w14:textId="77777777" w:rsidR="00B7708F" w:rsidRDefault="00B7708F" w:rsidP="005449AA">
            <w:pPr>
              <w:jc w:val="left"/>
            </w:pPr>
            <w:r>
              <w:t>X</w:t>
            </w:r>
          </w:p>
        </w:tc>
        <w:tc>
          <w:tcPr>
            <w:tcW w:w="2036" w:type="dxa"/>
          </w:tcPr>
          <w:p w14:paraId="3A0B357D" w14:textId="77777777" w:rsidR="00B7708F" w:rsidRDefault="00B7708F" w:rsidP="005449AA">
            <w:pPr>
              <w:jc w:val="left"/>
            </w:pPr>
            <w:r>
              <w:t>R</w:t>
            </w:r>
          </w:p>
        </w:tc>
        <w:tc>
          <w:tcPr>
            <w:tcW w:w="2006" w:type="dxa"/>
          </w:tcPr>
          <w:p w14:paraId="5B0FCE4E" w14:textId="77777777" w:rsidR="00B7708F" w:rsidRDefault="00B7708F" w:rsidP="005449AA">
            <w:pPr>
              <w:jc w:val="left"/>
            </w:pPr>
            <w:r>
              <w:t>L</w:t>
            </w:r>
          </w:p>
        </w:tc>
        <w:tc>
          <w:tcPr>
            <w:tcW w:w="1725" w:type="dxa"/>
          </w:tcPr>
          <w:p w14:paraId="086A74A2" w14:textId="77777777" w:rsidR="00B7708F" w:rsidRDefault="00E57C6B" w:rsidP="005449AA">
            <w:pPr>
              <w:jc w:val="left"/>
            </w:pPr>
            <w:hyperlink r:id="rId59" w:history="1">
              <w:r w:rsidR="00B7708F" w:rsidRPr="00732905">
                <w:rPr>
                  <w:rStyle w:val="Hyperlink"/>
                </w:rPr>
                <w:t>D0901468</w:t>
              </w:r>
            </w:hyperlink>
          </w:p>
        </w:tc>
      </w:tr>
      <w:tr w:rsidR="00B7708F" w14:paraId="448A46FE" w14:textId="77777777" w:rsidTr="00B7708F">
        <w:trPr>
          <w:cantSplit/>
        </w:trPr>
        <w:tc>
          <w:tcPr>
            <w:tcW w:w="2173" w:type="dxa"/>
            <w:vMerge/>
          </w:tcPr>
          <w:p w14:paraId="3605355C" w14:textId="77777777" w:rsidR="00B7708F" w:rsidRDefault="00B7708F" w:rsidP="005449AA">
            <w:pPr>
              <w:jc w:val="left"/>
            </w:pPr>
          </w:p>
        </w:tc>
        <w:tc>
          <w:tcPr>
            <w:tcW w:w="1866" w:type="dxa"/>
          </w:tcPr>
          <w:p w14:paraId="00DCCBFD" w14:textId="77777777" w:rsidR="00B7708F" w:rsidRDefault="00B7708F" w:rsidP="005449AA">
            <w:pPr>
              <w:jc w:val="left"/>
            </w:pPr>
            <w:r>
              <w:t>Y</w:t>
            </w:r>
          </w:p>
        </w:tc>
        <w:tc>
          <w:tcPr>
            <w:tcW w:w="2036" w:type="dxa"/>
          </w:tcPr>
          <w:p w14:paraId="318A59EA" w14:textId="77777777" w:rsidR="00B7708F" w:rsidRDefault="00B7708F" w:rsidP="005449AA">
            <w:pPr>
              <w:jc w:val="left"/>
            </w:pPr>
            <w:r>
              <w:t>L</w:t>
            </w:r>
          </w:p>
        </w:tc>
        <w:tc>
          <w:tcPr>
            <w:tcW w:w="2006" w:type="dxa"/>
          </w:tcPr>
          <w:p w14:paraId="23A837E8" w14:textId="77777777" w:rsidR="00B7708F" w:rsidRDefault="00B7708F" w:rsidP="005449AA">
            <w:pPr>
              <w:jc w:val="left"/>
            </w:pPr>
            <w:r>
              <w:t>R</w:t>
            </w:r>
          </w:p>
        </w:tc>
        <w:tc>
          <w:tcPr>
            <w:tcW w:w="1725" w:type="dxa"/>
          </w:tcPr>
          <w:p w14:paraId="077592B8" w14:textId="77777777" w:rsidR="00B7708F" w:rsidRDefault="00E57C6B" w:rsidP="005449AA">
            <w:pPr>
              <w:jc w:val="left"/>
            </w:pPr>
            <w:hyperlink r:id="rId60" w:history="1">
              <w:r w:rsidR="00B7708F" w:rsidRPr="00732905">
                <w:rPr>
                  <w:rStyle w:val="Hyperlink"/>
                </w:rPr>
                <w:t>D0901467</w:t>
              </w:r>
            </w:hyperlink>
          </w:p>
        </w:tc>
      </w:tr>
      <w:tr w:rsidR="00B7708F" w14:paraId="724F6114" w14:textId="77777777" w:rsidTr="00B7708F">
        <w:trPr>
          <w:cantSplit/>
        </w:trPr>
        <w:tc>
          <w:tcPr>
            <w:tcW w:w="2173" w:type="dxa"/>
            <w:vMerge w:val="restart"/>
          </w:tcPr>
          <w:p w14:paraId="07D24B91" w14:textId="77777777" w:rsidR="00B7708F" w:rsidRDefault="00B7708F" w:rsidP="005449AA">
            <w:pPr>
              <w:jc w:val="left"/>
            </w:pPr>
            <w:r>
              <w:t>L1</w:t>
            </w:r>
          </w:p>
        </w:tc>
        <w:tc>
          <w:tcPr>
            <w:tcW w:w="1866" w:type="dxa"/>
          </w:tcPr>
          <w:p w14:paraId="29A9A7D5" w14:textId="77777777" w:rsidR="00B7708F" w:rsidRDefault="00B7708F" w:rsidP="005449AA">
            <w:pPr>
              <w:jc w:val="left"/>
            </w:pPr>
            <w:r>
              <w:t>X</w:t>
            </w:r>
          </w:p>
        </w:tc>
        <w:tc>
          <w:tcPr>
            <w:tcW w:w="2036" w:type="dxa"/>
          </w:tcPr>
          <w:p w14:paraId="6C986C05" w14:textId="77777777" w:rsidR="00B7708F" w:rsidRDefault="00B7708F" w:rsidP="005449AA">
            <w:pPr>
              <w:jc w:val="left"/>
            </w:pPr>
            <w:r>
              <w:t>L</w:t>
            </w:r>
          </w:p>
        </w:tc>
        <w:tc>
          <w:tcPr>
            <w:tcW w:w="2006" w:type="dxa"/>
          </w:tcPr>
          <w:p w14:paraId="2E74ED42" w14:textId="77777777" w:rsidR="00B7708F" w:rsidRDefault="00B7708F" w:rsidP="005449AA">
            <w:pPr>
              <w:jc w:val="left"/>
            </w:pPr>
            <w:r>
              <w:t>R</w:t>
            </w:r>
          </w:p>
        </w:tc>
        <w:tc>
          <w:tcPr>
            <w:tcW w:w="1725" w:type="dxa"/>
          </w:tcPr>
          <w:p w14:paraId="56BED71D" w14:textId="77777777" w:rsidR="00B7708F" w:rsidRDefault="00E57C6B" w:rsidP="005449AA">
            <w:pPr>
              <w:jc w:val="left"/>
            </w:pPr>
            <w:hyperlink r:id="rId61" w:history="1">
              <w:r w:rsidR="00B7708F" w:rsidRPr="00732905">
                <w:rPr>
                  <w:rStyle w:val="Hyperlink"/>
                </w:rPr>
                <w:t>D0901465</w:t>
              </w:r>
            </w:hyperlink>
          </w:p>
        </w:tc>
      </w:tr>
      <w:tr w:rsidR="00B7708F" w14:paraId="7041D6C2" w14:textId="77777777" w:rsidTr="00B7708F">
        <w:trPr>
          <w:cantSplit/>
        </w:trPr>
        <w:tc>
          <w:tcPr>
            <w:tcW w:w="2173" w:type="dxa"/>
            <w:vMerge/>
          </w:tcPr>
          <w:p w14:paraId="6A4C2B88" w14:textId="77777777" w:rsidR="00B7708F" w:rsidRDefault="00B7708F" w:rsidP="005449AA">
            <w:pPr>
              <w:jc w:val="left"/>
            </w:pPr>
          </w:p>
        </w:tc>
        <w:tc>
          <w:tcPr>
            <w:tcW w:w="1866" w:type="dxa"/>
          </w:tcPr>
          <w:p w14:paraId="072EF692" w14:textId="77777777" w:rsidR="00B7708F" w:rsidRDefault="00B7708F" w:rsidP="005449AA">
            <w:pPr>
              <w:jc w:val="left"/>
            </w:pPr>
            <w:r>
              <w:t>Y</w:t>
            </w:r>
          </w:p>
        </w:tc>
        <w:tc>
          <w:tcPr>
            <w:tcW w:w="2036" w:type="dxa"/>
          </w:tcPr>
          <w:p w14:paraId="2FB603AD" w14:textId="77777777" w:rsidR="00B7708F" w:rsidRDefault="00B7708F" w:rsidP="005449AA">
            <w:pPr>
              <w:jc w:val="left"/>
            </w:pPr>
            <w:r>
              <w:t>R</w:t>
            </w:r>
          </w:p>
        </w:tc>
        <w:tc>
          <w:tcPr>
            <w:tcW w:w="2006" w:type="dxa"/>
          </w:tcPr>
          <w:p w14:paraId="74B7C602" w14:textId="77777777" w:rsidR="00B7708F" w:rsidRDefault="00B7708F" w:rsidP="005449AA">
            <w:pPr>
              <w:jc w:val="left"/>
            </w:pPr>
            <w:r>
              <w:t>L</w:t>
            </w:r>
          </w:p>
        </w:tc>
        <w:tc>
          <w:tcPr>
            <w:tcW w:w="1725" w:type="dxa"/>
          </w:tcPr>
          <w:p w14:paraId="4934237A" w14:textId="77777777" w:rsidR="00B7708F" w:rsidRDefault="00E57C6B" w:rsidP="005449AA">
            <w:pPr>
              <w:jc w:val="left"/>
            </w:pPr>
            <w:hyperlink r:id="rId62" w:history="1">
              <w:r w:rsidR="00B7708F" w:rsidRPr="00732905">
                <w:rPr>
                  <w:rStyle w:val="Hyperlink"/>
                </w:rPr>
                <w:t>D0901464</w:t>
              </w:r>
            </w:hyperlink>
          </w:p>
        </w:tc>
      </w:tr>
    </w:tbl>
    <w:p w14:paraId="02AF3FDF" w14:textId="11D063C2" w:rsidR="00A01613" w:rsidRDefault="00A01613" w:rsidP="005449AA">
      <w:pPr>
        <w:pStyle w:val="Heading2"/>
        <w:jc w:val="left"/>
      </w:pPr>
      <w:bookmarkStart w:id="83" w:name="_Toc170193784"/>
      <w:bookmarkStart w:id="84" w:name="_Toc321729355"/>
      <w:r>
        <w:t>Beam Path</w:t>
      </w:r>
      <w:bookmarkEnd w:id="83"/>
      <w:r w:rsidR="00B7708F">
        <w:t>s</w:t>
      </w:r>
      <w:r w:rsidR="005271B8">
        <w:t xml:space="preserve"> and Periscopes</w:t>
      </w:r>
      <w:bookmarkEnd w:id="84"/>
    </w:p>
    <w:p w14:paraId="1544A699" w14:textId="496D95F3" w:rsidR="00B7708F" w:rsidRDefault="00B7708F" w:rsidP="005449AA">
      <w:pPr>
        <w:jc w:val="left"/>
      </w:pPr>
      <w:r>
        <w:t>To achieve the required accuracy for the aLIGO Pcals, the Pcal beams must be precisely located on the ETMs at positions that minimize bulk elastic deformation of the ETM</w:t>
      </w:r>
      <w:r w:rsidR="005B3A96">
        <w:t>s</w:t>
      </w:r>
      <w:r>
        <w:t>.  In aLIGO, folded Arm Cavity Baffles, with apertures just 4 mm in diameter larger than that of the ETM, are located upstream of the ETMs.  These baffles preclude directing the Pcal beams directly onto the surfaces of the ETMs.  The aLIGO Pcals thus use input periscopes that direct the Pcal beam toward the axis of the beam tubes to decrease the angle of incidence on the ETMs and reduce interference with the Arm Cavity Baffles. In addition, for aLIGO the Pcal beams that reflect from the ETMs will be collected by in-vacuum periscopes and directed out of the vacuum system for continuous monitoring.  This is in contrast to the iLIGO and eLIGO systems, which just let the reflected beams scatter off of the walls of the beam tube manifolds.  Collecting the reflected beams will enable monitoring of the optical efficiency from the transmitter module output to the power reflected from the ETM and ob</w:t>
      </w:r>
      <w:r w:rsidR="001F07A4">
        <w:t>viate the need for the in-chamber</w:t>
      </w:r>
      <w:r>
        <w:t xml:space="preserve"> measurements that have proven necessary at the end</w:t>
      </w:r>
      <w:r w:rsidR="001F07A4">
        <w:t>s</w:t>
      </w:r>
      <w:r>
        <w:t xml:space="preserve"> of the S5 and S6 science runs.</w:t>
      </w:r>
    </w:p>
    <w:p w14:paraId="05B80ADC" w14:textId="05695A2D" w:rsidR="00B7708F" w:rsidRDefault="00B7708F" w:rsidP="005449AA">
      <w:pPr>
        <w:jc w:val="left"/>
      </w:pPr>
      <w:r>
        <w:t>The in-vacuum periscopes will be mounte</w:t>
      </w:r>
      <w:r w:rsidR="001F07A4">
        <w:t xml:space="preserve">d on a single compression ring that is </w:t>
      </w:r>
      <w:r>
        <w:t>similar to the design that the AOS system uses to mount baffles inside the beam tube manifolds.</w:t>
      </w:r>
    </w:p>
    <w:p w14:paraId="113C09A5" w14:textId="02E6D369" w:rsidR="00B967D5" w:rsidRDefault="00B7708F" w:rsidP="005449AA">
      <w:pPr>
        <w:jc w:val="left"/>
      </w:pPr>
      <w:r>
        <w:t>Two baffles are positioned</w:t>
      </w:r>
      <w:r w:rsidR="000B1D18">
        <w:t xml:space="preserve"> between the P</w:t>
      </w:r>
      <w:r>
        <w:t xml:space="preserve">cal </w:t>
      </w:r>
      <w:r w:rsidR="000B1D18">
        <w:t xml:space="preserve">viewports and the ETMs (see </w:t>
      </w:r>
      <w:hyperlink r:id="rId63" w:history="1">
        <w:r w:rsidR="000B1D18">
          <w:rPr>
            <w:rStyle w:val="Hyperlink"/>
          </w:rPr>
          <w:t>LIGO-T09</w:t>
        </w:r>
        <w:r w:rsidR="000B1D18" w:rsidRPr="00B67160">
          <w:rPr>
            <w:rStyle w:val="Hyperlink"/>
          </w:rPr>
          <w:t>00269</w:t>
        </w:r>
      </w:hyperlink>
      <w:r w:rsidR="000B1D18">
        <w:t xml:space="preserve"> for more information).  For H1 and L1, they are t</w:t>
      </w:r>
      <w:r w:rsidR="00B967D5">
        <w:t xml:space="preserve">he </w:t>
      </w:r>
      <w:r w:rsidR="000B1D18">
        <w:t>Cryopump B</w:t>
      </w:r>
      <w:r w:rsidR="001473A2">
        <w:t xml:space="preserve">affle, shown in </w:t>
      </w:r>
      <w:r w:rsidR="001473A2">
        <w:fldChar w:fldCharType="begin"/>
      </w:r>
      <w:r w:rsidR="001473A2">
        <w:instrText xml:space="preserve"> REF _Ref312334107 \h </w:instrText>
      </w:r>
      <w:r w:rsidR="001473A2">
        <w:fldChar w:fldCharType="separate"/>
      </w:r>
      <w:r w:rsidR="00E57C6B">
        <w:t xml:space="preserve">Figure </w:t>
      </w:r>
      <w:r w:rsidR="00E57C6B">
        <w:rPr>
          <w:noProof/>
        </w:rPr>
        <w:t>14</w:t>
      </w:r>
      <w:r w:rsidR="001473A2">
        <w:fldChar w:fldCharType="end"/>
      </w:r>
      <w:r w:rsidR="001473A2">
        <w:t>,</w:t>
      </w:r>
      <w:r w:rsidR="00B967D5">
        <w:t xml:space="preserve"> and the </w:t>
      </w:r>
      <w:r w:rsidR="000B1D18">
        <w:t>Arm Cavity B</w:t>
      </w:r>
      <w:r w:rsidR="00B967D5">
        <w:t xml:space="preserve">affle, shown in </w:t>
      </w:r>
      <w:r w:rsidR="00B967D5">
        <w:fldChar w:fldCharType="begin"/>
      </w:r>
      <w:r w:rsidR="00B967D5">
        <w:instrText xml:space="preserve"> REF _Ref311703341 \h </w:instrText>
      </w:r>
      <w:r w:rsidR="00B967D5">
        <w:fldChar w:fldCharType="separate"/>
      </w:r>
      <w:r w:rsidR="00E57C6B">
        <w:t xml:space="preserve">Figure </w:t>
      </w:r>
      <w:r w:rsidR="00E57C6B">
        <w:rPr>
          <w:noProof/>
        </w:rPr>
        <w:t>15</w:t>
      </w:r>
      <w:r w:rsidR="00B967D5">
        <w:fldChar w:fldCharType="end"/>
      </w:r>
      <w:r w:rsidR="000B1D18">
        <w:t>.  For H</w:t>
      </w:r>
      <w:r w:rsidR="001F07A4">
        <w:t>2, they are the flat, Manifold B</w:t>
      </w:r>
      <w:r w:rsidR="000B1D18">
        <w:t>affle and the Arm Cavity Baffle.</w:t>
      </w:r>
    </w:p>
    <w:p w14:paraId="78FF0715" w14:textId="77777777" w:rsidR="001473A2" w:rsidRDefault="001473A2" w:rsidP="005449AA">
      <w:pPr>
        <w:keepNext/>
        <w:jc w:val="left"/>
      </w:pPr>
      <w:r>
        <w:rPr>
          <w:noProof/>
          <w:lang w:bidi="he-IL"/>
        </w:rPr>
        <w:lastRenderedPageBreak/>
        <w:drawing>
          <wp:inline distT="0" distB="0" distL="0" distR="0" wp14:anchorId="466848F9" wp14:editId="7B210D36">
            <wp:extent cx="3467595" cy="3068358"/>
            <wp:effectExtent l="0" t="0" r="0" b="0"/>
            <wp:docPr id="28899" name="Picture 2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9570" cy="3070105"/>
                    </a:xfrm>
                    <a:prstGeom prst="rect">
                      <a:avLst/>
                    </a:prstGeom>
                    <a:noFill/>
                    <a:ln>
                      <a:noFill/>
                    </a:ln>
                  </pic:spPr>
                </pic:pic>
              </a:graphicData>
            </a:graphic>
          </wp:inline>
        </w:drawing>
      </w:r>
    </w:p>
    <w:p w14:paraId="70E7C37F" w14:textId="1F5539F3" w:rsidR="001473A2" w:rsidRDefault="001473A2" w:rsidP="005449AA">
      <w:pPr>
        <w:pStyle w:val="Caption"/>
        <w:jc w:val="left"/>
      </w:pPr>
      <w:bookmarkStart w:id="85" w:name="_Ref312334107"/>
      <w:r>
        <w:t xml:space="preserve">Figure </w:t>
      </w:r>
      <w:fldSimple w:instr=" SEQ Figure \* ARABIC ">
        <w:r w:rsidR="00E57C6B">
          <w:rPr>
            <w:noProof/>
          </w:rPr>
          <w:t>14</w:t>
        </w:r>
      </w:fldSimple>
      <w:bookmarkEnd w:id="85"/>
      <w:r>
        <w:t xml:space="preserve"> – Cryopump baffle positioned near viewports of H1 and L1.</w:t>
      </w:r>
      <w:r w:rsidR="00005B8D">
        <w:t xml:space="preserve"> Holes in the baffle allow for Pcal beams, Optical Lever beams, and cameras to have access to the ETM.</w:t>
      </w:r>
    </w:p>
    <w:p w14:paraId="102A6585" w14:textId="77777777" w:rsidR="00B967D5" w:rsidRDefault="00B967D5" w:rsidP="005449AA">
      <w:pPr>
        <w:keepNext/>
        <w:jc w:val="left"/>
      </w:pPr>
      <w:r>
        <w:rPr>
          <w:noProof/>
          <w:lang w:bidi="he-IL"/>
        </w:rPr>
        <w:drawing>
          <wp:inline distT="0" distB="0" distL="0" distR="0" wp14:anchorId="26EE459C" wp14:editId="416874AD">
            <wp:extent cx="2514600" cy="2514600"/>
            <wp:effectExtent l="0" t="0" r="0" b="0"/>
            <wp:docPr id="11" name="Picture 11" descr="C:\Users\jonathan.berliner\Downloads\ACR Mouse Holes Shown, PCAL(3 inch Dia)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han.berliner\Downloads\ACR Mouse Holes Shown, PCAL(3 inch Dia)11.10.1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560EC863" w14:textId="64AC5BE1" w:rsidR="00B967D5" w:rsidRDefault="00B967D5" w:rsidP="005449AA">
      <w:pPr>
        <w:pStyle w:val="Caption"/>
        <w:jc w:val="left"/>
      </w:pPr>
      <w:bookmarkStart w:id="86" w:name="_Ref311703341"/>
      <w:r>
        <w:t xml:space="preserve">Figure </w:t>
      </w:r>
      <w:fldSimple w:instr=" SEQ Figure \* ARABIC ">
        <w:r w:rsidR="00E57C6B">
          <w:rPr>
            <w:noProof/>
          </w:rPr>
          <w:t>15</w:t>
        </w:r>
      </w:fldSimple>
      <w:bookmarkEnd w:id="86"/>
      <w:r w:rsidR="000B1D18">
        <w:t xml:space="preserve"> – Arm cavity baffle that</w:t>
      </w:r>
      <w:r>
        <w:t xml:space="preserve"> is positioned in front of each ETM. </w:t>
      </w:r>
      <w:r w:rsidR="000B1D18">
        <w:t xml:space="preserve"> The four “mouse ear” cutouts provide minimal clearance for the two Pcal beams.</w:t>
      </w:r>
    </w:p>
    <w:p w14:paraId="0A36F292" w14:textId="57174E05" w:rsidR="00772E3A" w:rsidRDefault="008301B3" w:rsidP="005449AA">
      <w:pPr>
        <w:jc w:val="left"/>
      </w:pPr>
      <w:r>
        <w:lastRenderedPageBreak/>
        <w:t xml:space="preserve">A bird’s-eye view of the LHO Y-end Pcal beam paths is shown in </w:t>
      </w:r>
      <w:r w:rsidR="008D30F8">
        <w:fldChar w:fldCharType="begin"/>
      </w:r>
      <w:r w:rsidR="008D30F8">
        <w:instrText xml:space="preserve"> REF _Ref311703422 \h </w:instrText>
      </w:r>
      <w:r w:rsidR="008D30F8">
        <w:fldChar w:fldCharType="separate"/>
      </w:r>
      <w:r w:rsidR="00E57C6B">
        <w:t xml:space="preserve">Figure </w:t>
      </w:r>
      <w:r w:rsidR="00E57C6B">
        <w:rPr>
          <w:noProof/>
        </w:rPr>
        <w:t>16</w:t>
      </w:r>
      <w:r w:rsidR="008D30F8">
        <w:fldChar w:fldCharType="end"/>
      </w:r>
      <w:bookmarkStart w:id="87" w:name="_Toc170193785"/>
      <w:r w:rsidR="005271B8">
        <w:t>.</w:t>
      </w:r>
      <w:r w:rsidR="00772E3A">
        <w:rPr>
          <w:noProof/>
          <w:lang w:bidi="he-IL"/>
        </w:rPr>
        <w:drawing>
          <wp:inline distT="0" distB="0" distL="0" distR="0" wp14:anchorId="21B5C15C" wp14:editId="66171219">
            <wp:extent cx="6089650" cy="2290141"/>
            <wp:effectExtent l="0" t="0" r="6350" b="0"/>
            <wp:docPr id="8" name="Picture 8" descr="C:\Users\jonathan.berliner\Downloads\Top View with Beams Sh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berliner\Downloads\Top View with Beams Showing.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9650" cy="2290141"/>
                    </a:xfrm>
                    <a:prstGeom prst="rect">
                      <a:avLst/>
                    </a:prstGeom>
                    <a:noFill/>
                    <a:ln>
                      <a:noFill/>
                    </a:ln>
                  </pic:spPr>
                </pic:pic>
              </a:graphicData>
            </a:graphic>
          </wp:inline>
        </w:drawing>
      </w:r>
    </w:p>
    <w:p w14:paraId="790475BF" w14:textId="09195715" w:rsidR="00772E3A" w:rsidRDefault="00772E3A" w:rsidP="005449AA">
      <w:pPr>
        <w:pStyle w:val="Caption"/>
        <w:jc w:val="left"/>
      </w:pPr>
      <w:bookmarkStart w:id="88" w:name="_Ref311703422"/>
      <w:bookmarkStart w:id="89" w:name="_Toc168713291"/>
      <w:bookmarkStart w:id="90" w:name="_Toc311535649"/>
      <w:r>
        <w:t xml:space="preserve">Figure </w:t>
      </w:r>
      <w:fldSimple w:instr=" SEQ Figure \* ARABIC ">
        <w:r w:rsidR="00E57C6B">
          <w:rPr>
            <w:noProof/>
          </w:rPr>
          <w:t>16</w:t>
        </w:r>
      </w:fldSimple>
      <w:bookmarkEnd w:id="88"/>
      <w:r>
        <w:t xml:space="preserve"> – Optical layout of both H1 (left) and H2 (right) at the Y-End Station.</w:t>
      </w:r>
      <w:bookmarkEnd w:id="89"/>
      <w:bookmarkEnd w:id="90"/>
      <w:r>
        <w:t xml:space="preserve"> </w:t>
      </w:r>
      <w:r w:rsidR="008301B3">
        <w:t xml:space="preserve"> The lime green rectangles are the Pcal transmitter modules and the purple rectangles are the Pcal receiver modules that are mounted in the Optical Lever receiver pylons.</w:t>
      </w:r>
    </w:p>
    <w:p w14:paraId="515BCAFD" w14:textId="77777777" w:rsidR="00A01613" w:rsidRDefault="00A01613" w:rsidP="005449AA">
      <w:pPr>
        <w:pStyle w:val="Heading3"/>
        <w:jc w:val="left"/>
      </w:pPr>
      <w:bookmarkStart w:id="91" w:name="_Toc321729356"/>
      <w:r>
        <w:t>H1 and L1</w:t>
      </w:r>
      <w:bookmarkEnd w:id="87"/>
      <w:bookmarkEnd w:id="91"/>
    </w:p>
    <w:p w14:paraId="3EEFBFAE" w14:textId="647C4976" w:rsidR="000C0D58" w:rsidRDefault="00B7708F" w:rsidP="005449AA">
      <w:pPr>
        <w:jc w:val="left"/>
      </w:pPr>
      <w:r>
        <w:fldChar w:fldCharType="begin"/>
      </w:r>
      <w:r>
        <w:instrText xml:space="preserve"> REF _Ref312337114 \h </w:instrText>
      </w:r>
      <w:r>
        <w:fldChar w:fldCharType="separate"/>
      </w:r>
      <w:r w:rsidR="00E57C6B">
        <w:t xml:space="preserve">Figure </w:t>
      </w:r>
      <w:r w:rsidR="00E57C6B">
        <w:rPr>
          <w:noProof/>
        </w:rPr>
        <w:t>18</w:t>
      </w:r>
      <w:r>
        <w:fldChar w:fldCharType="end"/>
      </w:r>
      <w:r>
        <w:t xml:space="preserve"> illustrates the in-vacuum beam paths for the H1 and L1 Pcals.  Two horizontal beams leave the transmitter module and use in-vacuum periscopes to reach the ETM.  All Pcals inject two beams that are horizontally displaced by 1.5” to either side of the center of the Pcal viewport.  Both beams are vertically displaced by 1.24” above the viewport centerline such that the beam that will be directed to the upper spot on the ETM propagates horizontally from transmitter to receiver modules.  The other beam, the beam that starts farthest from the beam tube manifold centerline, is directed down by an input periscope, then propagates horizontally to the </w:t>
      </w:r>
      <w:r w:rsidR="001F07A4">
        <w:t>ETM and the receiving periscope</w:t>
      </w:r>
      <w:r>
        <w:t xml:space="preserve"> which directs it back up to the level of the upper beam (1.24” above the viewport centerline) and out of the vacuum system.  All Pcal beams, input and </w:t>
      </w:r>
      <w:proofErr w:type="gramStart"/>
      <w:r>
        <w:t>ou</w:t>
      </w:r>
      <w:r w:rsidR="001F07A4">
        <w:t>t</w:t>
      </w:r>
      <w:r>
        <w:t>put,</w:t>
      </w:r>
      <w:proofErr w:type="gramEnd"/>
      <w:r>
        <w:t xml:space="preserve"> propagate into and out of the vacuum system parallel to the beam tube centerline to or from the in-vacuum periscopes</w:t>
      </w:r>
      <w:r w:rsidR="000C0D58">
        <w:t xml:space="preserve"> (see </w:t>
      </w:r>
      <w:r w:rsidR="000C0D58">
        <w:fldChar w:fldCharType="begin"/>
      </w:r>
      <w:r w:rsidR="000C0D58">
        <w:instrText xml:space="preserve"> REF _Ref187198502 \h </w:instrText>
      </w:r>
      <w:r w:rsidR="000C0D58">
        <w:fldChar w:fldCharType="separate"/>
      </w:r>
      <w:r w:rsidR="00E57C6B">
        <w:t xml:space="preserve">Figure </w:t>
      </w:r>
      <w:r w:rsidR="00E57C6B">
        <w:rPr>
          <w:noProof/>
        </w:rPr>
        <w:t>17</w:t>
      </w:r>
      <w:r w:rsidR="000C0D58">
        <w:fldChar w:fldCharType="end"/>
      </w:r>
      <w:r w:rsidR="000C0D58">
        <w:t>)</w:t>
      </w:r>
      <w:r>
        <w:t>.</w:t>
      </w:r>
    </w:p>
    <w:p w14:paraId="2DD66C43" w14:textId="77777777" w:rsidR="000C0D58" w:rsidRDefault="000C0D58" w:rsidP="005449AA">
      <w:pPr>
        <w:keepNext/>
        <w:jc w:val="left"/>
      </w:pPr>
      <w:r>
        <w:rPr>
          <w:noProof/>
          <w:lang w:bidi="he-IL"/>
        </w:rPr>
        <w:lastRenderedPageBreak/>
        <w:drawing>
          <wp:inline distT="0" distB="0" distL="0" distR="0" wp14:anchorId="333D0575" wp14:editId="470736CA">
            <wp:extent cx="3347049" cy="3330486"/>
            <wp:effectExtent l="0" t="0" r="6350" b="3810"/>
            <wp:docPr id="5" name="Picture 5" descr="C:\Users\jonathan.berliner\Downloads\Top View H1 with La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berliner\Downloads\Top View H1 with Lasers.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1927" b="1"/>
                    <a:stretch/>
                  </pic:blipFill>
                  <pic:spPr bwMode="auto">
                    <a:xfrm>
                      <a:off x="0" y="0"/>
                      <a:ext cx="3357228" cy="3340615"/>
                    </a:xfrm>
                    <a:prstGeom prst="rect">
                      <a:avLst/>
                    </a:prstGeom>
                    <a:noFill/>
                    <a:ln>
                      <a:noFill/>
                    </a:ln>
                    <a:extLst>
                      <a:ext uri="{53640926-AAD7-44D8-BBD7-CCE9431645EC}">
                        <a14:shadowObscured xmlns:a14="http://schemas.microsoft.com/office/drawing/2010/main"/>
                      </a:ext>
                    </a:extLst>
                  </pic:spPr>
                </pic:pic>
              </a:graphicData>
            </a:graphic>
          </wp:inline>
        </w:drawing>
      </w:r>
    </w:p>
    <w:p w14:paraId="160404E8" w14:textId="77777777" w:rsidR="000C0D58" w:rsidRDefault="000C0D58" w:rsidP="005449AA">
      <w:pPr>
        <w:pStyle w:val="Caption"/>
        <w:jc w:val="left"/>
      </w:pPr>
      <w:bookmarkStart w:id="92" w:name="_Ref187198502"/>
      <w:r>
        <w:t xml:space="preserve">Figure </w:t>
      </w:r>
      <w:fldSimple w:instr=" SEQ Figure \* ARABIC ">
        <w:r w:rsidR="00E57C6B">
          <w:rPr>
            <w:noProof/>
          </w:rPr>
          <w:t>17</w:t>
        </w:r>
      </w:fldSimple>
      <w:bookmarkEnd w:id="92"/>
      <w:r>
        <w:t xml:space="preserve"> – H1Y Pcal beams (blue) entering from right and exiting from left WBSC10 at Y-End Station, from a bird’s-eye view. The square in the lower-right of the figure is the Pcal transmitter module, and the enclosed triangle is the transmitter pylon.</w:t>
      </w:r>
    </w:p>
    <w:p w14:paraId="2C755F51" w14:textId="77777777" w:rsidR="000C0D58" w:rsidRDefault="000C0D58" w:rsidP="005449AA">
      <w:pPr>
        <w:jc w:val="left"/>
      </w:pPr>
    </w:p>
    <w:p w14:paraId="2A7DDA1F" w14:textId="0E995C44" w:rsidR="00B7708F" w:rsidRPr="00B7708F" w:rsidRDefault="008266F6" w:rsidP="005449AA">
      <w:pPr>
        <w:jc w:val="left"/>
      </w:pPr>
      <w:r>
        <w:t xml:space="preserve"> All in-vacuum mirrors are 2” in diameter with HR coatings for 45 deg. incidence.  All turning mirrors are in fixed mounts, with only azimuthal and a slight pitch adjustment, except the four periscope mirrors closest to the ETMs (one for each input beam and one for each output beam) that will utilize the standard aLIGO Siskiyou</w:t>
      </w:r>
      <w:r w:rsidR="001F07A4">
        <w:t xml:space="preserve"> adjustable</w:t>
      </w:r>
      <w:r>
        <w:t xml:space="preserve"> mounts.</w:t>
      </w:r>
    </w:p>
    <w:p w14:paraId="498732C9" w14:textId="77777777" w:rsidR="00A01613" w:rsidRDefault="00A01613" w:rsidP="005449AA">
      <w:pPr>
        <w:keepNext/>
        <w:jc w:val="left"/>
      </w:pPr>
      <w:r>
        <w:rPr>
          <w:noProof/>
          <w:lang w:bidi="he-IL"/>
        </w:rPr>
        <w:lastRenderedPageBreak/>
        <w:drawing>
          <wp:inline distT="0" distB="0" distL="0" distR="0" wp14:anchorId="363FDFE6" wp14:editId="4B7D3838">
            <wp:extent cx="4287328" cy="4095452"/>
            <wp:effectExtent l="0" t="0" r="0" b="635"/>
            <wp:docPr id="28906" name="Picture 28906" descr="C:\Users\jonathan.berliner\Downloads\H1 LAUNCH AND RECE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nathan.berliner\Downloads\H1 LAUNCH AND RECEIVIN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0500" cy="4098482"/>
                    </a:xfrm>
                    <a:prstGeom prst="rect">
                      <a:avLst/>
                    </a:prstGeom>
                    <a:noFill/>
                    <a:ln>
                      <a:noFill/>
                    </a:ln>
                  </pic:spPr>
                </pic:pic>
              </a:graphicData>
            </a:graphic>
          </wp:inline>
        </w:drawing>
      </w:r>
      <w:r>
        <w:rPr>
          <w:noProof/>
          <w:lang w:bidi="he-IL"/>
        </w:rPr>
        <mc:AlternateContent>
          <mc:Choice Requires="wps">
            <w:drawing>
              <wp:inline distT="0" distB="0" distL="0" distR="0" wp14:anchorId="1DE2A8FE" wp14:editId="1B79DA4A">
                <wp:extent cx="301625" cy="301625"/>
                <wp:effectExtent l="0" t="0" r="0" b="0"/>
                <wp:docPr id="28898" name="Rectangle 28898" descr="https://mail.google.com/mail/?ui=2&amp;ik=c4b61fabbb&amp;view=att&amp;th=134340d60aba3d07&amp;attid=0.2&amp;disp=inline&amp;z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id="Rectangle 28898" o:spid="_x0000_s1026" alt="Description: https://mail.google.com/mail/?ui=2&amp;ik=c4b61fabbb&amp;view=att&amp;th=134340d60aba3d07&amp;attid=0.2&amp;disp=inline&amp;zw"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" filled="f" stroked="f">
                <o:lock v:ext="edit" aspectratio="t"/>
                <w10:anchorlock/>
              </v:rect>
            </w:pict>
          </mc:Fallback>
        </mc:AlternateContent>
      </w:r>
    </w:p>
    <w:p w14:paraId="62B431EB" w14:textId="302D92C2" w:rsidR="00A01613" w:rsidRDefault="00A01613" w:rsidP="005449AA">
      <w:pPr>
        <w:pStyle w:val="Caption"/>
        <w:jc w:val="left"/>
      </w:pPr>
      <w:bookmarkStart w:id="93" w:name="_Ref312337114"/>
      <w:bookmarkStart w:id="94" w:name="_Toc168713294"/>
      <w:bookmarkStart w:id="95" w:name="_Toc311535652"/>
      <w:r>
        <w:t xml:space="preserve">Figure </w:t>
      </w:r>
      <w:fldSimple w:instr=" SEQ Figure \* ARABIC ">
        <w:r w:rsidR="00E57C6B">
          <w:rPr>
            <w:noProof/>
          </w:rPr>
          <w:t>18</w:t>
        </w:r>
      </w:fldSimple>
      <w:bookmarkEnd w:id="93"/>
      <w:r>
        <w:t xml:space="preserve"> – In-Vacuum Beam Path (blue) of H1, L1 Photon Calibrator Beams</w:t>
      </w:r>
      <w:bookmarkEnd w:id="94"/>
      <w:r>
        <w:t xml:space="preserve"> with </w:t>
      </w:r>
      <w:r w:rsidR="008301B3">
        <w:t xml:space="preserve">Pcal </w:t>
      </w:r>
      <w:r>
        <w:t>Periscope</w:t>
      </w:r>
      <w:r w:rsidR="008301B3">
        <w:t>s</w:t>
      </w:r>
      <w:r>
        <w:t xml:space="preserve"> </w:t>
      </w:r>
      <w:bookmarkEnd w:id="95"/>
      <w:r w:rsidR="008301B3">
        <w:t>mounted to a compression ring (dark blue).</w:t>
      </w:r>
    </w:p>
    <w:p w14:paraId="366D7BA2" w14:textId="15F9C817" w:rsidR="00A01613" w:rsidRDefault="00A01613" w:rsidP="005449AA">
      <w:pPr>
        <w:jc w:val="left"/>
      </w:pPr>
    </w:p>
    <w:p w14:paraId="212CC2A8" w14:textId="77777777" w:rsidR="00A01613" w:rsidRDefault="00A01613" w:rsidP="005449AA">
      <w:pPr>
        <w:pStyle w:val="Heading3"/>
        <w:jc w:val="left"/>
      </w:pPr>
      <w:bookmarkStart w:id="96" w:name="_Toc170193788"/>
      <w:bookmarkStart w:id="97" w:name="_Toc321729357"/>
      <w:r>
        <w:t>H2</w:t>
      </w:r>
      <w:bookmarkEnd w:id="96"/>
      <w:bookmarkEnd w:id="97"/>
    </w:p>
    <w:p w14:paraId="74DA7FAD" w14:textId="6845247D" w:rsidR="005416CA" w:rsidRPr="005416CA" w:rsidRDefault="005416CA" w:rsidP="005449AA">
      <w:pPr>
        <w:jc w:val="left"/>
      </w:pPr>
      <w:r>
        <w:fldChar w:fldCharType="begin"/>
      </w:r>
      <w:r>
        <w:instrText xml:space="preserve"> REF _Ref312337263 \h </w:instrText>
      </w:r>
      <w:r>
        <w:fldChar w:fldCharType="separate"/>
      </w:r>
      <w:r w:rsidR="00E57C6B">
        <w:t xml:space="preserve">Figure </w:t>
      </w:r>
      <w:r w:rsidR="00E57C6B">
        <w:rPr>
          <w:noProof/>
        </w:rPr>
        <w:t>19</w:t>
      </w:r>
      <w:r>
        <w:fldChar w:fldCharType="end"/>
      </w:r>
      <w:r>
        <w:t xml:space="preserve"> shows the Pca</w:t>
      </w:r>
      <w:r w:rsidR="001F07A4">
        <w:t>l beam paths for an</w:t>
      </w:r>
      <w:r>
        <w:t xml:space="preserve"> H2 ETM.  Because of the shorter vacuum manifold, the viewports see the ETM f</w:t>
      </w:r>
      <w:r w:rsidR="001F07A4">
        <w:t xml:space="preserve">rom a wider angle.  Because </w:t>
      </w:r>
      <w:proofErr w:type="gramStart"/>
      <w:r w:rsidR="001F07A4">
        <w:t xml:space="preserve">of </w:t>
      </w:r>
      <w:r>
        <w:t xml:space="preserve"> the</w:t>
      </w:r>
      <w:proofErr w:type="gramEnd"/>
      <w:r>
        <w:t xml:space="preserve"> Arm Cavity Baffle, neither viewport can see the ETM directly. Because there is only one interferometer beam dictating a Stay-Clear Zone at this location, a crossbeam </w:t>
      </w:r>
      <w:r w:rsidR="001F07A4">
        <w:t>structure, mounted to a compression ring</w:t>
      </w:r>
      <w:r w:rsidR="00792EEC">
        <w:t xml:space="preserve"> will be used to support the periscope mirrors.</w:t>
      </w:r>
      <w:r w:rsidR="001F07A4">
        <w:t xml:space="preserve"> </w:t>
      </w:r>
      <w:r>
        <w:t xml:space="preserve"> </w:t>
      </w:r>
      <w:r w:rsidR="001F07A4">
        <w:t>This should simplify pre-alignment an</w:t>
      </w:r>
      <w:r w:rsidR="00792EEC">
        <w:t>d give better structural rigidit</w:t>
      </w:r>
      <w:r w:rsidR="001F07A4">
        <w:t>y.</w:t>
      </w:r>
    </w:p>
    <w:p w14:paraId="4D34617A" w14:textId="77777777" w:rsidR="00A01613" w:rsidRDefault="00A01613" w:rsidP="005449AA">
      <w:pPr>
        <w:keepNext/>
        <w:jc w:val="left"/>
      </w:pPr>
      <w:r>
        <w:rPr>
          <w:noProof/>
          <w:lang w:bidi="he-IL"/>
        </w:rPr>
        <w:lastRenderedPageBreak/>
        <w:drawing>
          <wp:inline distT="0" distB="0" distL="0" distR="0" wp14:anchorId="2CB7FD56" wp14:editId="297E856A">
            <wp:extent cx="5011947" cy="4305375"/>
            <wp:effectExtent l="0" t="0" r="0" b="0"/>
            <wp:docPr id="28909" name="Picture 28909" descr="C:\Users\jonathan.berliner\Downloads\H2 LAUNCH AND RECE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nathan.berliner\Downloads\H2 LAUNCH AND RECEIVING.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5340" cy="4308290"/>
                    </a:xfrm>
                    <a:prstGeom prst="rect">
                      <a:avLst/>
                    </a:prstGeom>
                    <a:noFill/>
                    <a:ln>
                      <a:noFill/>
                    </a:ln>
                  </pic:spPr>
                </pic:pic>
              </a:graphicData>
            </a:graphic>
          </wp:inline>
        </w:drawing>
      </w:r>
    </w:p>
    <w:p w14:paraId="3B540EC7" w14:textId="71D7077F" w:rsidR="00A01613" w:rsidRDefault="00A01613" w:rsidP="005449AA">
      <w:pPr>
        <w:pStyle w:val="Caption"/>
        <w:jc w:val="left"/>
      </w:pPr>
      <w:bookmarkStart w:id="98" w:name="_Ref312337263"/>
      <w:bookmarkStart w:id="99" w:name="_Toc168713296"/>
      <w:bookmarkStart w:id="100" w:name="_Toc311535653"/>
      <w:r>
        <w:t xml:space="preserve">Figure </w:t>
      </w:r>
      <w:fldSimple w:instr=" SEQ Figure \* ARABIC ">
        <w:r w:rsidR="00E57C6B">
          <w:rPr>
            <w:noProof/>
          </w:rPr>
          <w:t>19</w:t>
        </w:r>
      </w:fldSimple>
      <w:bookmarkEnd w:id="98"/>
      <w:r>
        <w:t xml:space="preserve"> – H2 beam path (blue) and in-vacuum periscopes mounted to </w:t>
      </w:r>
      <w:r w:rsidR="005416CA">
        <w:t>a compression ring (dark blue)</w:t>
      </w:r>
      <w:r>
        <w:t>.  In this image, the beams launch from the right.</w:t>
      </w:r>
      <w:bookmarkEnd w:id="99"/>
      <w:bookmarkEnd w:id="100"/>
    </w:p>
    <w:p w14:paraId="22C7B300" w14:textId="77777777" w:rsidR="00A01613" w:rsidRDefault="00A01613" w:rsidP="005449AA">
      <w:pPr>
        <w:pStyle w:val="Heading2"/>
        <w:jc w:val="left"/>
      </w:pPr>
      <w:bookmarkStart w:id="101" w:name="_Toc170193791"/>
      <w:bookmarkStart w:id="102" w:name="_Toc321729358"/>
      <w:r>
        <w:t>Beam Alignment and Localization</w:t>
      </w:r>
      <w:bookmarkEnd w:id="101"/>
      <w:bookmarkEnd w:id="102"/>
    </w:p>
    <w:p w14:paraId="1CCD85A8" w14:textId="0D9D50B2" w:rsidR="00A01613" w:rsidRDefault="005416CA" w:rsidP="005449AA">
      <w:pPr>
        <w:jc w:val="left"/>
      </w:pPr>
      <w:r>
        <w:t>For</w:t>
      </w:r>
      <w:r w:rsidR="00A01613">
        <w:t xml:space="preserve"> iLIGO and eLIGO, the P</w:t>
      </w:r>
      <w:r>
        <w:t xml:space="preserve">cal </w:t>
      </w:r>
      <w:r w:rsidR="00A01613">
        <w:t xml:space="preserve">beams were aligned and </w:t>
      </w:r>
      <w:r>
        <w:t>located by viewing the light scattered from the ETM by the ETM cameras</w:t>
      </w:r>
      <w:r w:rsidR="0008659F">
        <w:t>.</w:t>
      </w:r>
      <w:r w:rsidR="00A01613">
        <w:t xml:space="preserve"> </w:t>
      </w:r>
      <w:r w:rsidR="008266F6">
        <w:t>The light emitted by the OSEMs was used for alig</w:t>
      </w:r>
      <w:r w:rsidR="00E30BF8">
        <w:t>n</w:t>
      </w:r>
      <w:r w:rsidR="008266F6">
        <w:t xml:space="preserve">ment </w:t>
      </w:r>
      <w:proofErr w:type="spellStart"/>
      <w:r w:rsidR="008266F6">
        <w:t>fiducials</w:t>
      </w:r>
      <w:proofErr w:type="spellEnd"/>
      <w:r w:rsidR="008266F6">
        <w:t xml:space="preserve"> and t</w:t>
      </w:r>
      <w:r w:rsidR="00A01613">
        <w:t xml:space="preserve">he HR surface of the ETM </w:t>
      </w:r>
      <w:r w:rsidR="0008659F">
        <w:t>scattered</w:t>
      </w:r>
      <w:r w:rsidR="00A01613">
        <w:t xml:space="preserve"> </w:t>
      </w:r>
      <w:r w:rsidR="008266F6">
        <w:t xml:space="preserve">enough of the Pcal light that the beam spots could be seen, as shown in </w:t>
      </w:r>
      <w:r w:rsidR="008266F6">
        <w:fldChar w:fldCharType="begin"/>
      </w:r>
      <w:r w:rsidR="008266F6">
        <w:instrText xml:space="preserve"> REF _Ref187130694 \h </w:instrText>
      </w:r>
      <w:r w:rsidR="008266F6">
        <w:fldChar w:fldCharType="separate"/>
      </w:r>
      <w:r w:rsidR="00E57C6B">
        <w:t xml:space="preserve">Figure </w:t>
      </w:r>
      <w:r w:rsidR="00E57C6B">
        <w:rPr>
          <w:noProof/>
        </w:rPr>
        <w:t>20</w:t>
      </w:r>
      <w:r w:rsidR="008266F6">
        <w:fldChar w:fldCharType="end"/>
      </w:r>
      <w:r w:rsidR="008266F6">
        <w:t>.</w:t>
      </w:r>
    </w:p>
    <w:p w14:paraId="138D4D4F" w14:textId="7DF838E8" w:rsidR="00A01613" w:rsidRDefault="008266F6" w:rsidP="005449AA">
      <w:pPr>
        <w:keepNext/>
        <w:jc w:val="left"/>
      </w:pPr>
      <w:r w:rsidRPr="008266F6">
        <w:rPr>
          <w:noProof/>
          <w:lang w:bidi="he-IL"/>
        </w:rPr>
        <w:lastRenderedPageBreak/>
        <w:drawing>
          <wp:inline distT="0" distB="0" distL="0" distR="0" wp14:anchorId="2366ECFE" wp14:editId="3E9E92EE">
            <wp:extent cx="2740025" cy="2193925"/>
            <wp:effectExtent l="0" t="0" r="3175" b="0"/>
            <wp:docPr id="27658" name="Content Place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Content Placeholder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0025" cy="219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inline>
        </w:drawing>
      </w:r>
    </w:p>
    <w:p w14:paraId="2EDB89EB" w14:textId="3F95CD11" w:rsidR="00A01613" w:rsidRDefault="00A01613" w:rsidP="005449AA">
      <w:pPr>
        <w:pStyle w:val="Caption"/>
        <w:jc w:val="left"/>
      </w:pPr>
      <w:bookmarkStart w:id="103" w:name="_Ref187130694"/>
      <w:bookmarkStart w:id="104" w:name="_Toc168713298"/>
      <w:bookmarkStart w:id="105" w:name="_Toc311535654"/>
      <w:r>
        <w:t xml:space="preserve">Figure </w:t>
      </w:r>
      <w:fldSimple w:instr=" SEQ Figure \* ARABIC ">
        <w:r w:rsidR="00E57C6B">
          <w:rPr>
            <w:noProof/>
          </w:rPr>
          <w:t>20</w:t>
        </w:r>
      </w:fldSimple>
      <w:bookmarkEnd w:id="103"/>
      <w:r w:rsidR="008266F6">
        <w:t xml:space="preserve"> – BSC chamber camera view </w:t>
      </w:r>
      <w:proofErr w:type="gramStart"/>
      <w:r w:rsidR="008266F6">
        <w:t xml:space="preserve">of </w:t>
      </w:r>
      <w:r>
        <w:t xml:space="preserve"> ETM</w:t>
      </w:r>
      <w:r w:rsidR="008266F6">
        <w:t>X</w:t>
      </w:r>
      <w:proofErr w:type="gramEnd"/>
      <w:r w:rsidR="008266F6">
        <w:t xml:space="preserve"> showing the light from the</w:t>
      </w:r>
      <w:r w:rsidR="00792EEC">
        <w:t xml:space="preserve"> </w:t>
      </w:r>
      <w:r w:rsidR="008266F6">
        <w:t xml:space="preserve">OSEMs </w:t>
      </w:r>
      <w:bookmarkEnd w:id="104"/>
      <w:bookmarkEnd w:id="105"/>
      <w:r w:rsidR="008266F6">
        <w:t>as well as the light scattered from the two photon calibrator beams.</w:t>
      </w:r>
    </w:p>
    <w:p w14:paraId="0A68B0B1" w14:textId="5C274866" w:rsidR="008266F6" w:rsidRPr="008266F6" w:rsidRDefault="008266F6" w:rsidP="005449AA">
      <w:pPr>
        <w:jc w:val="left"/>
      </w:pPr>
      <w:r>
        <w:t>For aLIGO, the Pcal lasers will be a factor of four more powerful, but we expect the ETM surfaces to scatter less light.  Furthermore, we are striving for better localization of the Pcal beams on the ETM surface</w:t>
      </w:r>
      <w:r w:rsidR="00E30BF8">
        <w:t xml:space="preserve">s, </w:t>
      </w:r>
      <w:r w:rsidR="00E30BF8" w:rsidRPr="00E62CAF">
        <w:rPr>
          <w:rFonts w:ascii="MS Gothic" w:eastAsia="MS Gothic"/>
          <w:color w:val="000000"/>
        </w:rPr>
        <w:t>±</w:t>
      </w:r>
      <w:r w:rsidR="00E30BF8">
        <w:t>1 mm accuracy</w:t>
      </w:r>
      <w:r>
        <w:t>.</w:t>
      </w:r>
    </w:p>
    <w:p w14:paraId="3746DB62" w14:textId="14C67CDE" w:rsidR="00A01613" w:rsidRPr="00401072" w:rsidRDefault="009F163A" w:rsidP="005449AA">
      <w:pPr>
        <w:pStyle w:val="Heading3"/>
        <w:jc w:val="left"/>
      </w:pPr>
      <w:bookmarkStart w:id="106" w:name="_Toc321729359"/>
      <w:r>
        <w:t>Initial Alignment</w:t>
      </w:r>
      <w:bookmarkEnd w:id="106"/>
    </w:p>
    <w:p w14:paraId="372E7EF7" w14:textId="09EBFC6D" w:rsidR="009F163A" w:rsidRDefault="009F163A" w:rsidP="005449AA">
      <w:pPr>
        <w:jc w:val="left"/>
      </w:pPr>
      <w:r>
        <w:t>The fold mirrors and periscope assemblies</w:t>
      </w:r>
      <w:r w:rsidR="00792EEC">
        <w:t xml:space="preserve"> will be pre-aligned in the</w:t>
      </w:r>
      <w:r>
        <w:t xml:space="preserve"> optics labs </w:t>
      </w:r>
      <w:r w:rsidR="00792EEC">
        <w:t xml:space="preserve">at the observatory sites </w:t>
      </w:r>
      <w:r>
        <w:t>before installation in the vacuum envelopes.  Then, the beam paths will be pre-aligned using the IAS target</w:t>
      </w:r>
      <w:r w:rsidR="00792EEC">
        <w:t>,</w:t>
      </w:r>
      <w:r>
        <w:t xml:space="preserve"> or a similar target </w:t>
      </w:r>
      <w:r w:rsidR="00474F16">
        <w:t xml:space="preserve">(see </w:t>
      </w:r>
      <w:r w:rsidR="00A10634">
        <w:fldChar w:fldCharType="begin"/>
      </w:r>
      <w:r w:rsidR="00A10634">
        <w:instrText xml:space="preserve"> REF _Ref187138543 \h </w:instrText>
      </w:r>
      <w:r w:rsidR="00A10634">
        <w:fldChar w:fldCharType="separate"/>
      </w:r>
      <w:r w:rsidR="00E57C6B">
        <w:t xml:space="preserve">Figure </w:t>
      </w:r>
      <w:r w:rsidR="00E57C6B">
        <w:rPr>
          <w:noProof/>
        </w:rPr>
        <w:t>22</w:t>
      </w:r>
      <w:r w:rsidR="00A10634">
        <w:fldChar w:fldCharType="end"/>
      </w:r>
      <w:r w:rsidR="00A10634">
        <w:t xml:space="preserve">) </w:t>
      </w:r>
      <w:r>
        <w:t>mo</w:t>
      </w:r>
      <w:r w:rsidR="00474F16">
        <w:t>unted to the ETM suspension frame</w:t>
      </w:r>
      <w:r>
        <w:t xml:space="preserve"> as shown in </w:t>
      </w:r>
      <w:r w:rsidR="00474F16">
        <w:fldChar w:fldCharType="begin"/>
      </w:r>
      <w:r w:rsidR="00474F16">
        <w:instrText xml:space="preserve"> REF _Ref187137984 \h </w:instrText>
      </w:r>
      <w:r w:rsidR="00474F16">
        <w:fldChar w:fldCharType="separate"/>
      </w:r>
      <w:r w:rsidR="00E57C6B">
        <w:t xml:space="preserve">Figure </w:t>
      </w:r>
      <w:r w:rsidR="00E57C6B">
        <w:rPr>
          <w:noProof/>
        </w:rPr>
        <w:t>21</w:t>
      </w:r>
      <w:r w:rsidR="00474F16">
        <w:fldChar w:fldCharType="end"/>
      </w:r>
      <w:r w:rsidR="00792EEC">
        <w:t>,</w:t>
      </w:r>
      <w:r w:rsidR="00474F16">
        <w:t xml:space="preserve"> to roughly locate the beams on the ETM surface by adjusting the final turning mirrors on the input periscopes.</w:t>
      </w:r>
    </w:p>
    <w:p w14:paraId="082F17A4" w14:textId="6ACF0466" w:rsidR="009F163A" w:rsidRDefault="00474F16" w:rsidP="005449AA">
      <w:pPr>
        <w:keepNext/>
        <w:jc w:val="left"/>
      </w:pPr>
      <w:r>
        <w:rPr>
          <w:noProof/>
          <w:lang w:bidi="he-IL"/>
        </w:rPr>
        <w:lastRenderedPageBreak/>
        <w:drawing>
          <wp:inline distT="0" distB="0" distL="0" distR="0" wp14:anchorId="0187ACA4" wp14:editId="4615D937">
            <wp:extent cx="5392432"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2432" cy="3657600"/>
                    </a:xfrm>
                    <a:prstGeom prst="rect">
                      <a:avLst/>
                    </a:prstGeom>
                    <a:noFill/>
                    <a:ln>
                      <a:noFill/>
                    </a:ln>
                  </pic:spPr>
                </pic:pic>
              </a:graphicData>
            </a:graphic>
          </wp:inline>
        </w:drawing>
      </w:r>
    </w:p>
    <w:p w14:paraId="11AAA4FB" w14:textId="361ED1ED" w:rsidR="009F163A" w:rsidRDefault="009F163A" w:rsidP="005449AA">
      <w:pPr>
        <w:pStyle w:val="Caption"/>
        <w:jc w:val="left"/>
        <w:rPr>
          <w:rStyle w:val="Hyperlink"/>
          <w:color w:val="auto"/>
          <w:u w:val="none"/>
        </w:rPr>
      </w:pPr>
      <w:bookmarkStart w:id="107" w:name="_Ref187137984"/>
      <w:bookmarkStart w:id="108" w:name="_Toc168713300"/>
      <w:bookmarkStart w:id="109" w:name="_Toc311535656"/>
      <w:r>
        <w:t xml:space="preserve">Figure </w:t>
      </w:r>
      <w:fldSimple w:instr=" SEQ Figure \* ARABIC ">
        <w:r w:rsidR="00E57C6B">
          <w:rPr>
            <w:noProof/>
          </w:rPr>
          <w:t>21</w:t>
        </w:r>
      </w:fldSimple>
      <w:bookmarkEnd w:id="107"/>
      <w:r>
        <w:t xml:space="preserve"> – IAS target mounted </w:t>
      </w:r>
      <w:r w:rsidR="00474F16">
        <w:t>ETM suspension frame</w:t>
      </w:r>
      <w:r>
        <w:t xml:space="preserve"> in BSC6 (</w:t>
      </w:r>
      <w:hyperlink r:id="rId72" w:history="1">
        <w:r w:rsidRPr="007D429F">
          <w:rPr>
            <w:rStyle w:val="Hyperlink"/>
          </w:rPr>
          <w:t>LIGO-D1002497</w:t>
        </w:r>
      </w:hyperlink>
      <w:r w:rsidRPr="00E95D2A">
        <w:rPr>
          <w:rStyle w:val="Hyperlink"/>
          <w:color w:val="auto"/>
          <w:u w:val="none"/>
        </w:rPr>
        <w:t>)</w:t>
      </w:r>
      <w:bookmarkEnd w:id="108"/>
      <w:bookmarkEnd w:id="109"/>
    </w:p>
    <w:p w14:paraId="7CA005A9" w14:textId="77777777" w:rsidR="00474F16" w:rsidRDefault="00474F16" w:rsidP="005449AA">
      <w:pPr>
        <w:keepNext/>
        <w:jc w:val="left"/>
      </w:pPr>
      <w:r>
        <w:rPr>
          <w:noProof/>
          <w:lang w:bidi="he-IL"/>
        </w:rPr>
        <w:drawing>
          <wp:inline distT="0" distB="0" distL="0" distR="0" wp14:anchorId="5EE80839" wp14:editId="2DF68EA4">
            <wp:extent cx="323804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38040" cy="2286000"/>
                    </a:xfrm>
                    <a:prstGeom prst="rect">
                      <a:avLst/>
                    </a:prstGeom>
                  </pic:spPr>
                </pic:pic>
              </a:graphicData>
            </a:graphic>
          </wp:inline>
        </w:drawing>
      </w:r>
    </w:p>
    <w:p w14:paraId="22061889" w14:textId="0953FD50" w:rsidR="00474F16" w:rsidRDefault="00474F16" w:rsidP="005449AA">
      <w:pPr>
        <w:pStyle w:val="Caption"/>
        <w:jc w:val="left"/>
      </w:pPr>
      <w:bookmarkStart w:id="110" w:name="_Ref187138543"/>
      <w:bookmarkStart w:id="111" w:name="_Toc168713301"/>
      <w:bookmarkStart w:id="112" w:name="_Toc311535657"/>
      <w:r>
        <w:t xml:space="preserve">Figure </w:t>
      </w:r>
      <w:fldSimple w:instr=" SEQ Figure \* ARABIC ">
        <w:r w:rsidR="00E57C6B">
          <w:rPr>
            <w:noProof/>
          </w:rPr>
          <w:t>22</w:t>
        </w:r>
      </w:fldSimple>
      <w:bookmarkEnd w:id="110"/>
      <w:r>
        <w:t xml:space="preserve"> – </w:t>
      </w:r>
      <w:bookmarkEnd w:id="111"/>
      <w:bookmarkEnd w:id="112"/>
      <w:r w:rsidR="00A10634">
        <w:t>Concept for</w:t>
      </w:r>
      <w:r>
        <w:t xml:space="preserve"> Pcal alignment target. The blue crosshair marks the center of the ETM as determined by IAS, and the red crosshair</w:t>
      </w:r>
      <w:r w:rsidR="00A10634">
        <w:t>s</w:t>
      </w:r>
      <w:r>
        <w:t xml:space="preserve"> marks the optimal points of incidence of the Pcal beams, 11.16mm from the center of the ETM along the vertical diameter.</w:t>
      </w:r>
    </w:p>
    <w:p w14:paraId="0DC99F9A" w14:textId="0F138BF2" w:rsidR="009F163A" w:rsidRDefault="00474F16" w:rsidP="005449AA">
      <w:pPr>
        <w:jc w:val="left"/>
      </w:pPr>
      <w:r>
        <w:t xml:space="preserve">The first contact will then temporarily be partially peeled back to reveal about 7 cm of the ETM surface at the top and bottom of the optic and the </w:t>
      </w:r>
      <w:r w:rsidR="00792EEC">
        <w:t xml:space="preserve">Pcal beams </w:t>
      </w:r>
      <w:r>
        <w:t xml:space="preserve">reflected </w:t>
      </w:r>
      <w:r w:rsidR="00792EEC">
        <w:t>from the ETM</w:t>
      </w:r>
      <w:r>
        <w:t xml:space="preserve"> will be aligned using the first turning mirrors in the output periscopes.</w:t>
      </w:r>
    </w:p>
    <w:p w14:paraId="786B6653" w14:textId="2A0C5BE7" w:rsidR="00A01613" w:rsidRDefault="009F163A" w:rsidP="005449AA">
      <w:pPr>
        <w:pStyle w:val="Heading3"/>
        <w:jc w:val="left"/>
      </w:pPr>
      <w:bookmarkStart w:id="113" w:name="_Toc321729360"/>
      <w:r>
        <w:t>Final Alignment</w:t>
      </w:r>
      <w:bookmarkEnd w:id="113"/>
    </w:p>
    <w:p w14:paraId="33FD11EB" w14:textId="052374BE" w:rsidR="00A10634" w:rsidRDefault="00A01613" w:rsidP="005449AA">
      <w:pPr>
        <w:jc w:val="left"/>
      </w:pPr>
      <w:r>
        <w:t>Pablo Daveloza, as part of hi</w:t>
      </w:r>
      <w:r w:rsidR="00792EEC">
        <w:t>s doctoral dissertation</w:t>
      </w:r>
      <w:r>
        <w:t xml:space="preserve"> </w:t>
      </w:r>
      <w:r w:rsidR="00A10634">
        <w:t xml:space="preserve">at the University of Texas at </w:t>
      </w:r>
      <w:r>
        <w:t xml:space="preserve">Brownsville, </w:t>
      </w:r>
      <w:r w:rsidR="00A10634">
        <w:t>is</w:t>
      </w:r>
      <w:r>
        <w:t xml:space="preserve"> designing</w:t>
      </w:r>
      <w:r w:rsidR="00A10634">
        <w:t xml:space="preserve"> a Pcal beam localization system capable of determining the position of the Pcal (and </w:t>
      </w:r>
      <w:r w:rsidR="00792EEC">
        <w:lastRenderedPageBreak/>
        <w:t>interfe</w:t>
      </w:r>
      <w:r w:rsidR="00A10634">
        <w:t>r</w:t>
      </w:r>
      <w:r w:rsidR="00792EEC">
        <w:t>ometer</w:t>
      </w:r>
      <w:r w:rsidR="00A10634">
        <w:t xml:space="preserve">) beams on the ETM surface with an absolute accuracy of </w:t>
      </w:r>
      <w:r w:rsidR="00A10634" w:rsidRPr="00BD5F04">
        <w:rPr>
          <w:rFonts w:ascii="MS Gothic" w:eastAsia="MS Gothic"/>
          <w:color w:val="000000"/>
        </w:rPr>
        <w:t>±</w:t>
      </w:r>
      <w:r w:rsidR="00A10634" w:rsidRPr="00A10634">
        <w:rPr>
          <w:rFonts w:eastAsia="MS Gothic"/>
          <w:color w:val="000000"/>
        </w:rPr>
        <w:t>1</w:t>
      </w:r>
      <w:r w:rsidR="00A10634">
        <w:rPr>
          <w:rFonts w:eastAsia="MS Gothic"/>
          <w:color w:val="000000"/>
        </w:rPr>
        <w:t xml:space="preserve"> mm.  This system will likely utilize the ETM CCD camera views provided by the AOS system.  The current design calls for the relay mirrors (periscopes – the camera views are also occluded by the Arm Cavity Baffles, so they require periscopes similar to those for the Pc</w:t>
      </w:r>
      <w:r w:rsidR="00792EEC">
        <w:rPr>
          <w:rFonts w:eastAsia="MS Gothic"/>
          <w:color w:val="000000"/>
        </w:rPr>
        <w:t>als</w:t>
      </w:r>
      <w:r w:rsidR="00A10634">
        <w:rPr>
          <w:rFonts w:eastAsia="MS Gothic"/>
          <w:color w:val="000000"/>
        </w:rPr>
        <w:t xml:space="preserve"> but with larger optics) for these cameras to be mounted to the same compression rings used for the Pcal periscopes.</w:t>
      </w:r>
    </w:p>
    <w:p w14:paraId="7A23D494" w14:textId="69A946A8" w:rsidR="00175666" w:rsidRDefault="00827F05" w:rsidP="005449AA">
      <w:pPr>
        <w:pStyle w:val="Heading1"/>
        <w:jc w:val="left"/>
      </w:pPr>
      <w:bookmarkStart w:id="114" w:name="_Toc170193758"/>
      <w:bookmarkStart w:id="115" w:name="_Ref170194937"/>
      <w:bookmarkStart w:id="116" w:name="_Toc321729361"/>
      <w:bookmarkEnd w:id="72"/>
      <w:bookmarkEnd w:id="73"/>
      <w:bookmarkEnd w:id="74"/>
      <w:r>
        <w:t>Transmitter</w:t>
      </w:r>
      <w:r w:rsidR="00175666">
        <w:t xml:space="preserve"> </w:t>
      </w:r>
      <w:r w:rsidR="00A21E0A">
        <w:t>Module</w:t>
      </w:r>
      <w:bookmarkEnd w:id="114"/>
      <w:bookmarkEnd w:id="115"/>
      <w:bookmarkEnd w:id="116"/>
    </w:p>
    <w:p w14:paraId="4B9F2AA0" w14:textId="08834911" w:rsidR="0020192C" w:rsidRPr="00684CB2" w:rsidRDefault="008E118C" w:rsidP="005449AA">
      <w:pPr>
        <w:jc w:val="left"/>
      </w:pPr>
      <w:r>
        <w:t xml:space="preserve">The transmitter module </w:t>
      </w:r>
      <w:r w:rsidR="0000181E">
        <w:t xml:space="preserve">includes the laser, AOM, internal power sensor, and optical components necessary to generate the two power-modulated Pcal beams.  All components are mounted on a 2” thick breadboard that </w:t>
      </w:r>
      <w:r>
        <w:t xml:space="preserve">will be mounted to the Pcal transmitter pylon, with a flexible bellows connecting its output aperture to the aperture of the viewport </w:t>
      </w:r>
      <w:r w:rsidR="00601843">
        <w:t xml:space="preserve">protector assembly.  A schematic diagram of the optical configuration </w:t>
      </w:r>
      <w:r w:rsidR="00D43CBF">
        <w:t xml:space="preserve">of the </w:t>
      </w:r>
      <w:r w:rsidR="00601843">
        <w:t>t</w:t>
      </w:r>
      <w:r w:rsidR="00F43C23">
        <w:t xml:space="preserve">ransmitter module is shown in </w:t>
      </w:r>
      <w:r w:rsidR="00F43C23">
        <w:fldChar w:fldCharType="begin"/>
      </w:r>
      <w:r w:rsidR="00F43C23">
        <w:instrText xml:space="preserve"> REF _Ref310431224 \h </w:instrText>
      </w:r>
      <w:r w:rsidR="00F43C23">
        <w:fldChar w:fldCharType="separate"/>
      </w:r>
      <w:r w:rsidR="00E57C6B">
        <w:t xml:space="preserve">Figure </w:t>
      </w:r>
      <w:r w:rsidR="00E57C6B">
        <w:rPr>
          <w:noProof/>
        </w:rPr>
        <w:t>23</w:t>
      </w:r>
      <w:r w:rsidR="00F43C23">
        <w:fldChar w:fldCharType="end"/>
      </w:r>
      <w:r w:rsidR="00601843">
        <w:t xml:space="preserve">.  </w:t>
      </w:r>
    </w:p>
    <w:p w14:paraId="34331584" w14:textId="62A79359" w:rsidR="00B75267" w:rsidRPr="003131D5" w:rsidRDefault="001C64BF" w:rsidP="005449AA">
      <w:pPr>
        <w:keepNext/>
        <w:jc w:val="left"/>
        <w:rPr>
          <w:b/>
          <w:bCs/>
        </w:rPr>
      </w:pPr>
      <w:r w:rsidRPr="003131D5">
        <w:rPr>
          <w:b/>
          <w:bCs/>
        </w:rPr>
        <w:softHyphen/>
      </w:r>
      <w:r w:rsidR="00441117" w:rsidRPr="00441117">
        <w:rPr>
          <w:noProof/>
          <w:lang w:bidi="he-IL"/>
        </w:rPr>
        <w:t xml:space="preserve"> </w:t>
      </w:r>
      <w:r w:rsidR="00441117">
        <w:rPr>
          <w:noProof/>
          <w:lang w:bidi="he-IL"/>
        </w:rPr>
        <w:drawing>
          <wp:inline distT="0" distB="0" distL="0" distR="0" wp14:anchorId="496172AF" wp14:editId="3A79831C">
            <wp:extent cx="5943600" cy="5277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5277485"/>
                    </a:xfrm>
                    <a:prstGeom prst="rect">
                      <a:avLst/>
                    </a:prstGeom>
                  </pic:spPr>
                </pic:pic>
              </a:graphicData>
            </a:graphic>
          </wp:inline>
        </w:drawing>
      </w:r>
    </w:p>
    <w:p w14:paraId="26CD372E" w14:textId="358D4E15" w:rsidR="00B75267" w:rsidRDefault="00B75267" w:rsidP="00441117">
      <w:pPr>
        <w:pStyle w:val="Caption"/>
        <w:jc w:val="left"/>
      </w:pPr>
      <w:bookmarkStart w:id="117" w:name="_Ref310431224"/>
      <w:bookmarkStart w:id="118" w:name="_Toc168713276"/>
      <w:bookmarkStart w:id="119" w:name="_Toc311535629"/>
      <w:r>
        <w:t xml:space="preserve">Figure </w:t>
      </w:r>
      <w:fldSimple w:instr=" SEQ Figure \* ARABIC ">
        <w:r w:rsidR="00E57C6B">
          <w:rPr>
            <w:noProof/>
          </w:rPr>
          <w:t>23</w:t>
        </w:r>
      </w:fldSimple>
      <w:bookmarkEnd w:id="117"/>
      <w:r w:rsidR="00DB0F69">
        <w:t xml:space="preserve"> –</w:t>
      </w:r>
      <w:r w:rsidR="004B5805">
        <w:t xml:space="preserve"> </w:t>
      </w:r>
      <w:r w:rsidR="00792EEC">
        <w:t>S</w:t>
      </w:r>
      <w:r w:rsidR="000B39A1">
        <w:t xml:space="preserve">chematic of </w:t>
      </w:r>
      <w:r w:rsidR="00F921D6">
        <w:t>Pcal</w:t>
      </w:r>
      <w:r w:rsidR="00C70BD2">
        <w:t xml:space="preserve"> tran</w:t>
      </w:r>
      <w:r w:rsidR="00792EEC">
        <w:t>smitter</w:t>
      </w:r>
      <w:r w:rsidR="00C70BD2">
        <w:t xml:space="preserve"> module </w:t>
      </w:r>
      <w:r w:rsidR="00792EEC">
        <w:t xml:space="preserve">optical </w:t>
      </w:r>
      <w:r w:rsidR="00593ACA">
        <w:t>components</w:t>
      </w:r>
      <w:r w:rsidR="00792EEC">
        <w:t xml:space="preserve"> </w:t>
      </w:r>
      <w:r w:rsidR="00F43C23">
        <w:t>(</w:t>
      </w:r>
      <w:hyperlink r:id="rId75" w:history="1">
        <w:r w:rsidR="00F43C23" w:rsidRPr="00F921D6">
          <w:rPr>
            <w:rStyle w:val="Hyperlink"/>
          </w:rPr>
          <w:t>LIGO-D1102196</w:t>
        </w:r>
      </w:hyperlink>
      <w:r w:rsidR="00F43C23">
        <w:t>)</w:t>
      </w:r>
      <w:r w:rsidR="00593ACA">
        <w:t>.</w:t>
      </w:r>
      <w:bookmarkEnd w:id="118"/>
      <w:r w:rsidR="006B1ACD">
        <w:t xml:space="preserve"> </w:t>
      </w:r>
      <w:bookmarkEnd w:id="119"/>
    </w:p>
    <w:p w14:paraId="29CAAB77" w14:textId="77777777" w:rsidR="00AC7360" w:rsidRDefault="00AC7360" w:rsidP="005449AA">
      <w:pPr>
        <w:pStyle w:val="Heading2"/>
        <w:jc w:val="left"/>
      </w:pPr>
      <w:bookmarkStart w:id="120" w:name="_Toc170193759"/>
      <w:bookmarkStart w:id="121" w:name="_Ref311550969"/>
      <w:bookmarkStart w:id="122" w:name="_Toc321729362"/>
      <w:r>
        <w:lastRenderedPageBreak/>
        <w:t>Laser</w:t>
      </w:r>
      <w:bookmarkEnd w:id="120"/>
      <w:bookmarkEnd w:id="121"/>
      <w:bookmarkEnd w:id="122"/>
    </w:p>
    <w:p w14:paraId="71D0C879" w14:textId="52162322" w:rsidR="00441117" w:rsidRDefault="004671AE" w:rsidP="004671AE">
      <w:pPr>
        <w:jc w:val="left"/>
      </w:pPr>
      <w:r>
        <w:t xml:space="preserve">Each transmitter module will contain a laser. The laser will be a 2W, continuous wave, 1047 nm </w:t>
      </w:r>
      <w:proofErr w:type="spellStart"/>
      <w:r>
        <w:t>Nd</w:t>
      </w:r>
      <w:proofErr w:type="gramStart"/>
      <w:r>
        <w:t>:YLF</w:t>
      </w:r>
      <w:proofErr w:type="spellEnd"/>
      <w:proofErr w:type="gramEnd"/>
      <w:r>
        <w:t xml:space="preserve"> laser. </w:t>
      </w:r>
      <w:r w:rsidR="003F1AB1">
        <w:t xml:space="preserve">This wavelength was chosen because it continues the calibration history of the Gold Standard and Working Standard from NIST which used 1047 nm light as well. </w:t>
      </w:r>
      <w:r>
        <w:t>The laser will be in continuous operation during a science run.</w:t>
      </w:r>
      <w:r w:rsidR="003F1AB1">
        <w:t xml:space="preserve"> The </w:t>
      </w:r>
    </w:p>
    <w:p w14:paraId="0910FF38" w14:textId="176F33D9" w:rsidR="00CD1CD4" w:rsidRDefault="007F0AF4" w:rsidP="005449AA">
      <w:pPr>
        <w:jc w:val="left"/>
      </w:pPr>
      <w:r>
        <w:t xml:space="preserve">The aLIGO Pcal transmitter modules will </w:t>
      </w:r>
      <w:r w:rsidR="004671AE">
        <w:t xml:space="preserve">also </w:t>
      </w:r>
      <w:r>
        <w:t>contain a remote-controlled mechanical laser shutter</w:t>
      </w:r>
      <w:r w:rsidR="00063554">
        <w:t>.</w:t>
      </w:r>
      <w:r>
        <w:t xml:space="preserve">  A</w:t>
      </w:r>
      <w:r w:rsidR="00144687">
        <w:t>dditionally, a</w:t>
      </w:r>
      <w:r w:rsidR="00CD1CD4">
        <w:t xml:space="preserve"> feature of </w:t>
      </w:r>
      <w:r w:rsidR="0039131E">
        <w:t>e</w:t>
      </w:r>
      <w:r w:rsidR="00CD1CD4">
        <w:t xml:space="preserve">LIGO </w:t>
      </w:r>
      <w:r w:rsidR="001E487A">
        <w:t>that</w:t>
      </w:r>
      <w:r w:rsidR="00CD1CD4">
        <w:t xml:space="preserve"> </w:t>
      </w:r>
      <w:r>
        <w:t xml:space="preserve">will </w:t>
      </w:r>
      <w:r w:rsidR="00CD1CD4">
        <w:t xml:space="preserve">be reused in </w:t>
      </w:r>
      <w:r w:rsidR="00084A5D">
        <w:t>aLIGO is</w:t>
      </w:r>
      <w:r w:rsidR="00CD1CD4">
        <w:t xml:space="preserve"> </w:t>
      </w:r>
      <w:r w:rsidR="001F32AE">
        <w:t>a slow channel</w:t>
      </w:r>
      <w:r w:rsidR="00CD1CD4">
        <w:t xml:space="preserve"> interface that allows the laser power </w:t>
      </w:r>
      <w:r>
        <w:t xml:space="preserve">to be turned </w:t>
      </w:r>
      <w:r w:rsidR="00CD1CD4">
        <w:t>on or off as necessary, remotely.</w:t>
      </w:r>
      <w:r w:rsidR="00170C4D">
        <w:t xml:space="preserve"> </w:t>
      </w:r>
      <w:r w:rsidR="00792EEC">
        <w:t>See</w:t>
      </w:r>
      <w:r w:rsidR="00170C4D">
        <w:t xml:space="preserve"> “Overview of Photon Calibrator Electronics” (</w:t>
      </w:r>
      <w:hyperlink r:id="rId76" w:history="1">
        <w:r w:rsidR="00170C4D" w:rsidRPr="00890BEF">
          <w:rPr>
            <w:rStyle w:val="Hyperlink"/>
          </w:rPr>
          <w:t>LIGO-T1100556</w:t>
        </w:r>
      </w:hyperlink>
      <w:r w:rsidR="00170C4D">
        <w:t>)</w:t>
      </w:r>
      <w:r w:rsidR="00792EEC">
        <w:t xml:space="preserve"> for details</w:t>
      </w:r>
      <w:r w:rsidR="00170C4D">
        <w:t>.</w:t>
      </w:r>
    </w:p>
    <w:p w14:paraId="6C1BC874" w14:textId="4CA5D247" w:rsidR="001523CF" w:rsidRDefault="004209ED" w:rsidP="005449AA">
      <w:pPr>
        <w:pStyle w:val="Heading2"/>
        <w:jc w:val="left"/>
      </w:pPr>
      <w:bookmarkStart w:id="123" w:name="_Toc170193764"/>
      <w:bookmarkStart w:id="124" w:name="_Toc321729363"/>
      <w:r>
        <w:t>Acousto-Optic Modulator</w:t>
      </w:r>
      <w:bookmarkEnd w:id="123"/>
      <w:bookmarkEnd w:id="124"/>
    </w:p>
    <w:p w14:paraId="13448DDC" w14:textId="396E28EE" w:rsidR="004209ED" w:rsidRDefault="00E75480" w:rsidP="005449AA">
      <w:pPr>
        <w:jc w:val="left"/>
      </w:pPr>
      <w:r>
        <w:t>During</w:t>
      </w:r>
      <w:r w:rsidR="004209ED">
        <w:t xml:space="preserve"> </w:t>
      </w:r>
      <w:r w:rsidR="00792EEC">
        <w:t xml:space="preserve">iLIGO and </w:t>
      </w:r>
      <w:r w:rsidR="004209ED">
        <w:t xml:space="preserve">eLIGO, the </w:t>
      </w:r>
      <w:r w:rsidR="00792EEC">
        <w:t>Pcals</w:t>
      </w:r>
      <w:r w:rsidR="004209ED">
        <w:t xml:space="preserve"> used ISOMET 1205C</w:t>
      </w:r>
      <w:r w:rsidR="00170C4D">
        <w:t>-843</w:t>
      </w:r>
      <w:r w:rsidR="004209ED">
        <w:t xml:space="preserve"> AOMs and ISOMET 230 Series Analog RF Drivers.  </w:t>
      </w:r>
      <w:r w:rsidR="00170C4D">
        <w:t>This</w:t>
      </w:r>
      <w:r>
        <w:t xml:space="preserve"> RF driver</w:t>
      </w:r>
      <w:r w:rsidR="00170C4D">
        <w:t xml:space="preserve"> model</w:t>
      </w:r>
      <w:r>
        <w:t xml:space="preserve"> was d</w:t>
      </w:r>
      <w:r w:rsidR="00170C4D">
        <w:t>iscontinued so the ISOMET 532C-2-B, which includes a voltage bias adjust,</w:t>
      </w:r>
      <w:r>
        <w:t xml:space="preserve"> will be used instead.</w:t>
      </w:r>
      <w:r w:rsidR="00792EEC">
        <w:t xml:space="preserve"> We will use the </w:t>
      </w:r>
      <w:r w:rsidR="00614E9B">
        <w:t>ISOMET 1205C-843 modulators for aLIGO</w:t>
      </w:r>
    </w:p>
    <w:p w14:paraId="03AEC1C1" w14:textId="02E7F419" w:rsidR="00170C4D" w:rsidRDefault="00170C4D" w:rsidP="005449AA">
      <w:pPr>
        <w:jc w:val="left"/>
      </w:pPr>
      <w:r>
        <w:t>Control of the input signal into the AOM is discussed in “Overview of Photon Calibrator Electronics” (</w:t>
      </w:r>
      <w:hyperlink r:id="rId77" w:history="1">
        <w:r w:rsidRPr="00890BEF">
          <w:rPr>
            <w:rStyle w:val="Hyperlink"/>
          </w:rPr>
          <w:t>LIGO-T1100556</w:t>
        </w:r>
      </w:hyperlink>
      <w:r>
        <w:t>).</w:t>
      </w:r>
    </w:p>
    <w:p w14:paraId="7CD820A2" w14:textId="4F718139" w:rsidR="001523CF" w:rsidRDefault="005F12B9" w:rsidP="005449AA">
      <w:pPr>
        <w:pStyle w:val="Heading2"/>
        <w:jc w:val="left"/>
      </w:pPr>
      <w:bookmarkStart w:id="125" w:name="_Toc170193767"/>
      <w:bookmarkStart w:id="126" w:name="_Toc321729364"/>
      <w:r>
        <w:t xml:space="preserve">Internal </w:t>
      </w:r>
      <w:bookmarkEnd w:id="125"/>
      <w:r w:rsidR="00614E9B">
        <w:t>Laser Power Sensors</w:t>
      </w:r>
      <w:bookmarkEnd w:id="126"/>
    </w:p>
    <w:p w14:paraId="5ECCF654" w14:textId="37FCF3C3" w:rsidR="00614E9B" w:rsidRDefault="00614E9B" w:rsidP="005449AA">
      <w:pPr>
        <w:jc w:val="left"/>
      </w:pPr>
      <w:r>
        <w:t>The aLIGO Pcals use internal power sensors in both the transmitter modules and the receiver modules to continuously monitor the modulate</w:t>
      </w:r>
      <w:r w:rsidR="00E04D21">
        <w:t>d</w:t>
      </w:r>
      <w:r>
        <w:t xml:space="preserve"> power waveform. These power sensors use InGaAs photodetectors with integrated pre-amplifiers that are mounted to 2” diameter integrating spheres</w:t>
      </w:r>
      <w:r w:rsidR="004A5407">
        <w:t xml:space="preserve"> (see </w:t>
      </w:r>
      <w:r w:rsidR="004A5407">
        <w:fldChar w:fldCharType="begin"/>
      </w:r>
      <w:r w:rsidR="004A5407">
        <w:instrText xml:space="preserve"> REF _Ref187194631 \h </w:instrText>
      </w:r>
      <w:r w:rsidR="004A5407">
        <w:fldChar w:fldCharType="separate"/>
      </w:r>
      <w:r w:rsidR="00E57C6B">
        <w:t xml:space="preserve">Figure </w:t>
      </w:r>
      <w:r w:rsidR="00E57C6B">
        <w:rPr>
          <w:noProof/>
        </w:rPr>
        <w:t>24</w:t>
      </w:r>
      <w:r w:rsidR="004A5407">
        <w:fldChar w:fldCharType="end"/>
      </w:r>
      <w:r w:rsidR="004A5407">
        <w:t>)</w:t>
      </w:r>
      <w:r>
        <w:t>.  These are similar to the power sensors that were used in the eLIGO Pcals and found to be extremely stable (with a fraction of 1% over 18 months).</w:t>
      </w:r>
    </w:p>
    <w:p w14:paraId="4AA739F0" w14:textId="77777777" w:rsidR="004A5407" w:rsidRDefault="004A5407" w:rsidP="005449AA">
      <w:pPr>
        <w:keepNext/>
        <w:jc w:val="left"/>
      </w:pPr>
      <w:r>
        <w:rPr>
          <w:noProof/>
          <w:lang w:bidi="he-IL"/>
        </w:rPr>
        <w:drawing>
          <wp:inline distT="0" distB="0" distL="0" distR="0" wp14:anchorId="56F0CC87" wp14:editId="6EE34A94">
            <wp:extent cx="4061361" cy="3046833"/>
            <wp:effectExtent l="0" t="0" r="0" b="1270"/>
            <wp:docPr id="13" name="Picture 13" descr="E:\DCIM\100GEDSC\GEDC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GEDSC\GEDC058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67696" cy="3051586"/>
                    </a:xfrm>
                    <a:prstGeom prst="rect">
                      <a:avLst/>
                    </a:prstGeom>
                    <a:noFill/>
                    <a:ln>
                      <a:noFill/>
                    </a:ln>
                  </pic:spPr>
                </pic:pic>
              </a:graphicData>
            </a:graphic>
          </wp:inline>
        </w:drawing>
      </w:r>
    </w:p>
    <w:p w14:paraId="04ABB764" w14:textId="7EC9E1BD" w:rsidR="004A5407" w:rsidRDefault="004A5407" w:rsidP="005449AA">
      <w:pPr>
        <w:pStyle w:val="Caption"/>
        <w:jc w:val="left"/>
      </w:pPr>
      <w:bookmarkStart w:id="127" w:name="_Ref187194631"/>
      <w:bookmarkStart w:id="128" w:name="_Toc168713280"/>
      <w:bookmarkStart w:id="129" w:name="_Toc311535636"/>
      <w:bookmarkStart w:id="130" w:name="_Ref187194595"/>
      <w:r>
        <w:t xml:space="preserve">Figure </w:t>
      </w:r>
      <w:fldSimple w:instr=" SEQ Figure \* ARABIC ">
        <w:r w:rsidR="00E57C6B">
          <w:rPr>
            <w:noProof/>
          </w:rPr>
          <w:t>24</w:t>
        </w:r>
      </w:fldSimple>
      <w:bookmarkEnd w:id="127"/>
      <w:r>
        <w:t xml:space="preserve"> – eLIGO Internal Photodetector’s Integrating Sphere</w:t>
      </w:r>
      <w:bookmarkEnd w:id="128"/>
      <w:bookmarkEnd w:id="129"/>
      <w:bookmarkEnd w:id="130"/>
    </w:p>
    <w:p w14:paraId="0517F026" w14:textId="2F8E22C4" w:rsidR="0050536E" w:rsidRDefault="00614E9B" w:rsidP="005449AA">
      <w:pPr>
        <w:jc w:val="left"/>
      </w:pPr>
      <w:r>
        <w:lastRenderedPageBreak/>
        <w:t>The internal power sensors</w:t>
      </w:r>
      <w:r w:rsidR="00733C46">
        <w:t xml:space="preserve"> will be directly calibrated by one of the Working Standards</w:t>
      </w:r>
      <w:r>
        <w:t xml:space="preserve"> (see Section </w:t>
      </w:r>
      <w:r>
        <w:fldChar w:fldCharType="begin"/>
      </w:r>
      <w:r>
        <w:instrText xml:space="preserve"> REF _Ref187190960 \r \h </w:instrText>
      </w:r>
      <w:r>
        <w:fldChar w:fldCharType="separate"/>
      </w:r>
      <w:r w:rsidR="00E57C6B">
        <w:rPr>
          <w:cs/>
        </w:rPr>
        <w:t>‎</w:t>
      </w:r>
      <w:r w:rsidR="00E57C6B">
        <w:t>6</w:t>
      </w:r>
      <w:r>
        <w:fldChar w:fldCharType="end"/>
      </w:r>
      <w:r>
        <w:t>)</w:t>
      </w:r>
      <w:r w:rsidR="00733C46">
        <w:t xml:space="preserve">.  </w:t>
      </w:r>
    </w:p>
    <w:p w14:paraId="02648BFE" w14:textId="77777777" w:rsidR="0050536E" w:rsidRPr="0050536E" w:rsidRDefault="00785C18" w:rsidP="005449AA">
      <w:pPr>
        <w:pStyle w:val="Heading2"/>
        <w:jc w:val="left"/>
      </w:pPr>
      <w:bookmarkStart w:id="131" w:name="_Toc170193771"/>
      <w:bookmarkStart w:id="132" w:name="_Toc321729365"/>
      <w:r>
        <w:t>Physical and Environmental Monitors</w:t>
      </w:r>
      <w:bookmarkEnd w:id="131"/>
      <w:bookmarkEnd w:id="132"/>
    </w:p>
    <w:p w14:paraId="43D9DE81" w14:textId="77777777" w:rsidR="007471E8" w:rsidRDefault="004E4866" w:rsidP="005449AA">
      <w:pPr>
        <w:jc w:val="left"/>
      </w:pPr>
      <w:r>
        <w:t>A</w:t>
      </w:r>
      <w:r w:rsidR="007471E8">
        <w:t xml:space="preserve"> temperature sensor</w:t>
      </w:r>
      <w:r w:rsidR="00F27BD3">
        <w:t xml:space="preserve"> will be instal</w:t>
      </w:r>
      <w:r w:rsidR="007471E8">
        <w:t>led within the Pcal transmitter</w:t>
      </w:r>
      <w:r w:rsidR="00F27BD3">
        <w:t xml:space="preserve"> </w:t>
      </w:r>
      <w:r w:rsidR="000B7B8D">
        <w:t>module</w:t>
      </w:r>
      <w:r w:rsidR="007471E8">
        <w:t xml:space="preserve"> enclosure</w:t>
      </w:r>
      <w:bookmarkStart w:id="133" w:name="_Toc170193774"/>
      <w:r w:rsidR="007471E8">
        <w:t xml:space="preserve"> to facilitate investigations of correlations with temperature variations and to give advance warning of changes in internal conditions.</w:t>
      </w:r>
    </w:p>
    <w:p w14:paraId="598C2821" w14:textId="160712D5" w:rsidR="001B0533" w:rsidRDefault="0000181E" w:rsidP="005449AA">
      <w:pPr>
        <w:pStyle w:val="Heading2"/>
        <w:jc w:val="left"/>
      </w:pPr>
      <w:bookmarkStart w:id="134" w:name="_Toc321729366"/>
      <w:bookmarkEnd w:id="133"/>
      <w:r>
        <w:t>Breadboard</w:t>
      </w:r>
      <w:bookmarkEnd w:id="134"/>
    </w:p>
    <w:p w14:paraId="43906888" w14:textId="43F062F6" w:rsidR="0000181E" w:rsidRPr="0000181E" w:rsidRDefault="0000181E" w:rsidP="005449AA">
      <w:pPr>
        <w:jc w:val="left"/>
      </w:pPr>
      <w:r>
        <w:t xml:space="preserve">The Pcal transmitter module will incorporate </w:t>
      </w:r>
      <w:proofErr w:type="gramStart"/>
      <w:r>
        <w:t>a 36” x</w:t>
      </w:r>
      <w:proofErr w:type="gramEnd"/>
      <w:r>
        <w:t xml:space="preserve"> 30” x 2” thick optical breadboard with ¼</w:t>
      </w:r>
      <w:r w:rsidR="00F068A1">
        <w:t>”</w:t>
      </w:r>
      <w:r>
        <w:t xml:space="preserve">-20 tapped holes on 1” centers. </w:t>
      </w:r>
    </w:p>
    <w:p w14:paraId="70EC540D" w14:textId="0D042C8C" w:rsidR="001B0533" w:rsidRDefault="000C2C8A" w:rsidP="005449AA">
      <w:pPr>
        <w:pStyle w:val="Heading2"/>
        <w:jc w:val="left"/>
      </w:pPr>
      <w:bookmarkStart w:id="135" w:name="_Toc170193775"/>
      <w:bookmarkStart w:id="136" w:name="_Toc321729367"/>
      <w:r>
        <w:t>Enclosure</w:t>
      </w:r>
      <w:bookmarkEnd w:id="135"/>
      <w:r w:rsidR="004A5407">
        <w:t>s</w:t>
      </w:r>
      <w:bookmarkEnd w:id="136"/>
    </w:p>
    <w:p w14:paraId="73452012" w14:textId="3E2212DE" w:rsidR="000C2C8A" w:rsidRDefault="000B7B8D" w:rsidP="005449AA">
      <w:pPr>
        <w:jc w:val="left"/>
      </w:pPr>
      <w:r>
        <w:t xml:space="preserve">The </w:t>
      </w:r>
      <w:r w:rsidR="001E15A9">
        <w:t xml:space="preserve">beam path of the </w:t>
      </w:r>
      <w:r w:rsidR="004A5407">
        <w:t>Pcals</w:t>
      </w:r>
      <w:r w:rsidR="001E15A9">
        <w:t xml:space="preserve"> will be entirely enclosed to ensure the safety </w:t>
      </w:r>
      <w:r w:rsidR="004A5407">
        <w:t>personnel inside</w:t>
      </w:r>
      <w:r w:rsidR="001E15A9">
        <w:t xml:space="preserve"> the </w:t>
      </w:r>
      <w:r w:rsidR="00653013">
        <w:t>VEA</w:t>
      </w:r>
      <w:r w:rsidR="004A5407">
        <w:t>s</w:t>
      </w:r>
      <w:r w:rsidR="001E15A9">
        <w:t xml:space="preserve"> and the integrity of the calibration. </w:t>
      </w:r>
      <w:r w:rsidR="004A5407">
        <w:t xml:space="preserve">Both the transmitter and receiver modules will be completely enclosed with </w:t>
      </w:r>
      <w:r w:rsidR="007471E8">
        <w:t xml:space="preserve">painted </w:t>
      </w:r>
      <w:r w:rsidR="004A5407">
        <w:t xml:space="preserve">sheet metal </w:t>
      </w:r>
      <w:r w:rsidR="007471E8">
        <w:t xml:space="preserve">enclosures similar to what was used for eLIGO (see </w:t>
      </w:r>
      <w:r w:rsidR="007471E8">
        <w:fldChar w:fldCharType="begin"/>
      </w:r>
      <w:r w:rsidR="007471E8">
        <w:instrText xml:space="preserve"> REF _Ref187197489 \h </w:instrText>
      </w:r>
      <w:r w:rsidR="007471E8">
        <w:fldChar w:fldCharType="separate"/>
      </w:r>
      <w:r w:rsidR="00E57C6B">
        <w:t xml:space="preserve">Figure </w:t>
      </w:r>
      <w:r w:rsidR="00E57C6B">
        <w:rPr>
          <w:noProof/>
        </w:rPr>
        <w:t>25</w:t>
      </w:r>
      <w:r w:rsidR="007471E8">
        <w:fldChar w:fldCharType="end"/>
      </w:r>
      <w:r w:rsidR="007471E8">
        <w:t>).</w:t>
      </w:r>
    </w:p>
    <w:p w14:paraId="058B1926" w14:textId="77777777" w:rsidR="007471E8" w:rsidRDefault="007471E8" w:rsidP="005449AA">
      <w:pPr>
        <w:keepNext/>
        <w:jc w:val="left"/>
      </w:pPr>
      <w:r>
        <w:rPr>
          <w:noProof/>
          <w:lang w:bidi="he-IL"/>
        </w:rPr>
        <w:drawing>
          <wp:inline distT="0" distB="0" distL="0" distR="0" wp14:anchorId="5FB4BF36" wp14:editId="3418750D">
            <wp:extent cx="3407260" cy="2556127"/>
            <wp:effectExtent l="0" t="0" r="3175" b="0"/>
            <wp:docPr id="14" name="Picture 14" descr="E:\DCIM\100GEDSC\GEDC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GEDSC\GEDC056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10075" cy="2558239"/>
                    </a:xfrm>
                    <a:prstGeom prst="rect">
                      <a:avLst/>
                    </a:prstGeom>
                    <a:noFill/>
                    <a:ln>
                      <a:noFill/>
                    </a:ln>
                  </pic:spPr>
                </pic:pic>
              </a:graphicData>
            </a:graphic>
          </wp:inline>
        </w:drawing>
      </w:r>
    </w:p>
    <w:p w14:paraId="445082BF" w14:textId="70FFD182" w:rsidR="007471E8" w:rsidRDefault="007471E8" w:rsidP="005449AA">
      <w:pPr>
        <w:pStyle w:val="Caption"/>
        <w:jc w:val="left"/>
      </w:pPr>
      <w:bookmarkStart w:id="137" w:name="_Ref187197489"/>
      <w:bookmarkStart w:id="138" w:name="_Toc168713282"/>
      <w:bookmarkStart w:id="139" w:name="_Toc311535638"/>
      <w:r>
        <w:t xml:space="preserve">Figure </w:t>
      </w:r>
      <w:fldSimple w:instr=" SEQ Figure \* ARABIC ">
        <w:r w:rsidR="00E57C6B">
          <w:rPr>
            <w:noProof/>
          </w:rPr>
          <w:t>25</w:t>
        </w:r>
      </w:fldSimple>
      <w:bookmarkEnd w:id="137"/>
      <w:r>
        <w:t xml:space="preserve"> – eLIGO Pcal transmitter module</w:t>
      </w:r>
      <w:bookmarkEnd w:id="138"/>
      <w:bookmarkEnd w:id="139"/>
      <w:r w:rsidR="0000181E">
        <w:t>.</w:t>
      </w:r>
    </w:p>
    <w:p w14:paraId="5365DAE3" w14:textId="77777777" w:rsidR="007471E8" w:rsidRDefault="007471E8" w:rsidP="005449AA">
      <w:pPr>
        <w:jc w:val="left"/>
      </w:pPr>
    </w:p>
    <w:p w14:paraId="014657D1" w14:textId="7C8EC107" w:rsidR="002F2431" w:rsidRDefault="002F2431" w:rsidP="005449AA">
      <w:pPr>
        <w:pStyle w:val="Heading2"/>
        <w:jc w:val="left"/>
      </w:pPr>
      <w:bookmarkStart w:id="140" w:name="_Toc321729368"/>
      <w:r>
        <w:t>Viewport Protector</w:t>
      </w:r>
      <w:r w:rsidR="007471E8">
        <w:t>s</w:t>
      </w:r>
      <w:bookmarkEnd w:id="140"/>
    </w:p>
    <w:p w14:paraId="6136757E" w14:textId="08680E1F" w:rsidR="002F2431" w:rsidRDefault="002F2431" w:rsidP="005449AA">
      <w:pPr>
        <w:jc w:val="left"/>
      </w:pPr>
      <w:r>
        <w:t>Viewport protector</w:t>
      </w:r>
      <w:r w:rsidR="007471E8">
        <w:t>s, provided by AOS</w:t>
      </w:r>
      <w:r>
        <w:t>, will be installed on both the transmit</w:t>
      </w:r>
      <w:r w:rsidR="007471E8">
        <w:t>ter and receiver viewports. These protect</w:t>
      </w:r>
      <w:r>
        <w:t xml:space="preserve"> the viewport glass when work is ongoing in</w:t>
      </w:r>
      <w:r w:rsidR="007471E8">
        <w:t>side the Pcal module enclosures</w:t>
      </w:r>
      <w:r w:rsidR="00C40F18">
        <w:t xml:space="preserve">. </w:t>
      </w:r>
    </w:p>
    <w:p w14:paraId="0708358B" w14:textId="77777777" w:rsidR="00953EEE" w:rsidRDefault="003D07DD" w:rsidP="005449AA">
      <w:pPr>
        <w:pStyle w:val="Heading2"/>
        <w:jc w:val="left"/>
      </w:pPr>
      <w:bookmarkStart w:id="141" w:name="_Toc170193778"/>
      <w:bookmarkStart w:id="142" w:name="_Toc321729369"/>
      <w:r>
        <w:lastRenderedPageBreak/>
        <w:t>Transmitter</w:t>
      </w:r>
      <w:r w:rsidR="00FC65FB">
        <w:t xml:space="preserve"> Module Pylo</w:t>
      </w:r>
      <w:r w:rsidR="00D06869">
        <w:t>n</w:t>
      </w:r>
      <w:bookmarkEnd w:id="141"/>
      <w:bookmarkEnd w:id="142"/>
    </w:p>
    <w:p w14:paraId="60FAD9C1" w14:textId="77777777" w:rsidR="00DE1C0C" w:rsidRDefault="00DE1C0C" w:rsidP="005449AA">
      <w:pPr>
        <w:keepNext/>
        <w:jc w:val="left"/>
      </w:pPr>
      <w:r>
        <w:rPr>
          <w:noProof/>
          <w:lang w:bidi="he-IL"/>
        </w:rPr>
        <w:drawing>
          <wp:inline distT="0" distB="0" distL="0" distR="0" wp14:anchorId="52AE71DC" wp14:editId="627F974D">
            <wp:extent cx="1959429" cy="2929095"/>
            <wp:effectExtent l="0" t="0" r="3175" b="5080"/>
            <wp:docPr id="15" name="Picture 15" descr="C:\Users\jonathan.berliner\Downloads\reimagesforreview4_14_11\Tx P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berliner\Downloads\reimagesforreview4_14_11\Tx Pylo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4774" cy="2937085"/>
                    </a:xfrm>
                    <a:prstGeom prst="rect">
                      <a:avLst/>
                    </a:prstGeom>
                    <a:noFill/>
                    <a:ln>
                      <a:noFill/>
                    </a:ln>
                  </pic:spPr>
                </pic:pic>
              </a:graphicData>
            </a:graphic>
          </wp:inline>
        </w:drawing>
      </w:r>
      <w:r w:rsidR="005C7AF9" w:rsidRPr="005C7AF9">
        <w:rPr>
          <w:snapToGrid w:val="0"/>
          <w:color w:val="000000"/>
          <w:w w:val="0"/>
          <w:sz w:val="0"/>
          <w:szCs w:val="0"/>
          <w:u w:color="000000"/>
          <w:bdr w:val="none" w:sz="0" w:space="0" w:color="000000"/>
          <w:shd w:val="clear" w:color="000000" w:fill="000000"/>
          <w:lang w:val="x-none" w:eastAsia="x-none" w:bidi="x-none"/>
        </w:rPr>
        <w:t xml:space="preserve"> </w:t>
      </w:r>
      <w:r w:rsidR="005C7AF9">
        <w:rPr>
          <w:noProof/>
          <w:lang w:bidi="he-IL"/>
        </w:rPr>
        <w:drawing>
          <wp:inline distT="0" distB="0" distL="0" distR="0" wp14:anchorId="4E82EA9E" wp14:editId="2F609F4E">
            <wp:extent cx="3034603" cy="2931864"/>
            <wp:effectExtent l="0" t="0" r="0" b="1905"/>
            <wp:docPr id="16" name="Picture 16" descr="C:\Users\jonathan.berliner\Downloads\reimagesforreview4_14_11\L1 Y END ISO VIEW(CUT 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berliner\Downloads\reimagesforreview4_14_11\L1 Y END ISO VIEW(CUT AWAY).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948"/>
                    <a:stretch/>
                  </pic:blipFill>
                  <pic:spPr bwMode="auto">
                    <a:xfrm>
                      <a:off x="0" y="0"/>
                      <a:ext cx="3044959" cy="2941870"/>
                    </a:xfrm>
                    <a:prstGeom prst="rect">
                      <a:avLst/>
                    </a:prstGeom>
                    <a:noFill/>
                    <a:ln>
                      <a:noFill/>
                    </a:ln>
                    <a:extLst>
                      <a:ext uri="{53640926-AAD7-44D8-BBD7-CCE9431645EC}">
                        <a14:shadowObscured xmlns:a14="http://schemas.microsoft.com/office/drawing/2010/main"/>
                      </a:ext>
                    </a:extLst>
                  </pic:spPr>
                </pic:pic>
              </a:graphicData>
            </a:graphic>
          </wp:inline>
        </w:drawing>
      </w:r>
    </w:p>
    <w:p w14:paraId="1280AD2A" w14:textId="65CA1904" w:rsidR="00DE1C0C" w:rsidRDefault="00DE1C0C" w:rsidP="005449AA">
      <w:pPr>
        <w:pStyle w:val="Caption"/>
        <w:jc w:val="left"/>
      </w:pPr>
      <w:bookmarkStart w:id="143" w:name="_Toc168713283"/>
      <w:bookmarkStart w:id="144" w:name="_Toc311535639"/>
      <w:r>
        <w:t xml:space="preserve">Figure </w:t>
      </w:r>
      <w:fldSimple w:instr=" SEQ Figure \* ARABIC ">
        <w:r w:rsidR="00E57C6B">
          <w:rPr>
            <w:noProof/>
          </w:rPr>
          <w:t>26</w:t>
        </w:r>
      </w:fldSimple>
      <w:r>
        <w:t xml:space="preserve"> – </w:t>
      </w:r>
      <w:r w:rsidR="00C73CB6">
        <w:t>Solidworks</w:t>
      </w:r>
      <w:r>
        <w:t xml:space="preserve"> design of Pcal </w:t>
      </w:r>
      <w:r w:rsidR="00827F05">
        <w:t>transmitter</w:t>
      </w:r>
      <w:r w:rsidR="0000181E">
        <w:t xml:space="preserve"> module</w:t>
      </w:r>
      <w:r w:rsidR="00FC65FB">
        <w:t xml:space="preserve"> pylon</w:t>
      </w:r>
      <w:r w:rsidR="0000181E">
        <w:t xml:space="preserve"> with breadboard shown in gray (left</w:t>
      </w:r>
      <w:bookmarkEnd w:id="143"/>
      <w:bookmarkEnd w:id="144"/>
      <w:r w:rsidR="0000181E">
        <w:t>).  The locations of the Pcal and Optical Lever pylons are show in the view on the right.  Note that the Pcal receiver module breadboard can be seen mounted in the tall Optical Lever receiver pylon.</w:t>
      </w:r>
    </w:p>
    <w:p w14:paraId="6D7FD4E2" w14:textId="5971DD30" w:rsidR="00FC65FB" w:rsidRDefault="0000181E" w:rsidP="005449AA">
      <w:pPr>
        <w:jc w:val="left"/>
      </w:pPr>
      <w:r>
        <w:t>The transmitter module pylons</w:t>
      </w:r>
      <w:r w:rsidR="00FC65FB">
        <w:t xml:space="preserve"> are composed</w:t>
      </w:r>
      <w:r w:rsidR="000B7B8D">
        <w:t xml:space="preserve"> of 306 stainless steel </w:t>
      </w:r>
      <w:r w:rsidR="000C0D58">
        <w:t>sheet that is folded and welded in the manner developed for the Optical Lever py</w:t>
      </w:r>
      <w:r w:rsidR="00F068A1">
        <w:t>lons.  The rectangular openings</w:t>
      </w:r>
      <w:r w:rsidR="000C0D58">
        <w:t xml:space="preserve"> are sized to allow mounting of the Pcal electronics in 19” rack format, if desired.  The laser power supply may require mounting in close proximity to the laser and the other electronic components may be mounted in the pylon for convenience.  </w:t>
      </w:r>
      <w:r w:rsidR="004E4C4A">
        <w:t xml:space="preserve">The base of the pylon will be bolted </w:t>
      </w:r>
      <w:r w:rsidR="000C0D58">
        <w:t>to a grout plate that will be leveled, then</w:t>
      </w:r>
      <w:r w:rsidR="004E4C4A">
        <w:t xml:space="preserve"> </w:t>
      </w:r>
      <w:r w:rsidR="000C0D58">
        <w:t xml:space="preserve">bolted and </w:t>
      </w:r>
      <w:r w:rsidR="009468F4">
        <w:t>grouted to the floo</w:t>
      </w:r>
      <w:r w:rsidR="000B7B8D">
        <w:t>r of the VEA</w:t>
      </w:r>
      <w:r w:rsidR="009468F4">
        <w:t>.</w:t>
      </w:r>
      <w:r w:rsidR="000C0D58">
        <w:t xml:space="preserve"> The pylon and breadboard can be seen in </w:t>
      </w:r>
      <w:proofErr w:type="spellStart"/>
      <w:r w:rsidR="000C0D58">
        <w:t>plan</w:t>
      </w:r>
      <w:proofErr w:type="spellEnd"/>
      <w:r w:rsidR="000C0D58">
        <w:t xml:space="preserve"> view in </w:t>
      </w:r>
      <w:r w:rsidR="000C0D58">
        <w:fldChar w:fldCharType="begin"/>
      </w:r>
      <w:r w:rsidR="000C0D58">
        <w:instrText xml:space="preserve"> REF _Ref187198502 \h </w:instrText>
      </w:r>
      <w:r w:rsidR="000C0D58">
        <w:fldChar w:fldCharType="separate"/>
      </w:r>
      <w:r w:rsidR="00E57C6B">
        <w:t xml:space="preserve">Figure </w:t>
      </w:r>
      <w:r w:rsidR="00E57C6B">
        <w:rPr>
          <w:noProof/>
        </w:rPr>
        <w:t>17</w:t>
      </w:r>
      <w:r w:rsidR="000C0D58">
        <w:fldChar w:fldCharType="end"/>
      </w:r>
      <w:r w:rsidR="000C0D58">
        <w:t>.</w:t>
      </w:r>
    </w:p>
    <w:p w14:paraId="7CD76A90" w14:textId="2FC8CA21" w:rsidR="00953EEE" w:rsidRDefault="00274014" w:rsidP="005449AA">
      <w:pPr>
        <w:jc w:val="left"/>
      </w:pPr>
      <w:r>
        <w:t>E</w:t>
      </w:r>
      <w:r w:rsidR="005E1121">
        <w:t>lectronics modules</w:t>
      </w:r>
      <w:r>
        <w:t>, fitting the 19</w:t>
      </w:r>
      <w:r w:rsidR="00961A8C">
        <w:t>”</w:t>
      </w:r>
      <w:r>
        <w:t xml:space="preserve"> standard,</w:t>
      </w:r>
      <w:r w:rsidR="005E1121">
        <w:t xml:space="preserve"> will be mounted within the</w:t>
      </w:r>
      <w:r>
        <w:t xml:space="preserve"> slits of the</w:t>
      </w:r>
      <w:r w:rsidR="00283CA1">
        <w:t xml:space="preserve"> transmitter pylon.</w:t>
      </w:r>
      <w:r w:rsidR="005E1121">
        <w:t xml:space="preserve"> These include power supplies for transmitter and receiver module components, </w:t>
      </w:r>
      <w:r>
        <w:t>signal conditioning</w:t>
      </w:r>
      <w:r w:rsidR="005E1121">
        <w:t xml:space="preserve"> boxes, and an AOM driver.</w:t>
      </w:r>
    </w:p>
    <w:p w14:paraId="4240EEC8" w14:textId="707AD03A" w:rsidR="00587847" w:rsidRPr="005C7AF9" w:rsidRDefault="00587847" w:rsidP="005449AA">
      <w:pPr>
        <w:pStyle w:val="Heading1"/>
        <w:jc w:val="left"/>
      </w:pPr>
      <w:bookmarkStart w:id="145" w:name="_Toc170193797"/>
      <w:bookmarkStart w:id="146" w:name="_Toc170193780"/>
      <w:bookmarkStart w:id="147" w:name="_Toc321729370"/>
      <w:r>
        <w:t>Photon Calibrator Receiver Module</w:t>
      </w:r>
      <w:bookmarkEnd w:id="145"/>
      <w:bookmarkEnd w:id="147"/>
    </w:p>
    <w:p w14:paraId="501558E7" w14:textId="5B705FCB" w:rsidR="00587847" w:rsidRDefault="000C0D58" w:rsidP="005449AA">
      <w:pPr>
        <w:jc w:val="left"/>
      </w:pPr>
      <w:r>
        <w:t>The aLIGO Pcals</w:t>
      </w:r>
      <w:r w:rsidR="00587847">
        <w:t xml:space="preserve"> will also measure the power of the </w:t>
      </w:r>
      <w:r>
        <w:t>Pcal</w:t>
      </w:r>
      <w:r w:rsidR="00587847">
        <w:t xml:space="preserve"> laser bea</w:t>
      </w:r>
      <w:r w:rsidR="00283CA1">
        <w:t xml:space="preserve">ms downstream of the </w:t>
      </w:r>
      <w:r w:rsidR="003B5416">
        <w:t>ETM</w:t>
      </w:r>
      <w:r>
        <w:t xml:space="preserve"> –</w:t>
      </w:r>
      <w:r w:rsidR="00D4736F">
        <w:t xml:space="preserve"> outside the vacuum envelope, inside the Pcal receiver module</w:t>
      </w:r>
      <w:r w:rsidR="00283CA1">
        <w:t>.</w:t>
      </w:r>
      <w:r w:rsidR="00587847">
        <w:t xml:space="preserve"> </w:t>
      </w:r>
      <w:r w:rsidR="00D4736F">
        <w:t>The both beams are directed to a single power sensor.  The receiver module has enough space to accommodate a Working Standard for absolute power calibration.</w:t>
      </w:r>
    </w:p>
    <w:p w14:paraId="0E307A7D" w14:textId="09E123DF" w:rsidR="00587847" w:rsidRDefault="00587847" w:rsidP="005449AA">
      <w:pPr>
        <w:pStyle w:val="Heading2"/>
        <w:jc w:val="left"/>
      </w:pPr>
      <w:bookmarkStart w:id="148" w:name="_Toc170193798"/>
      <w:bookmarkStart w:id="149" w:name="_Toc321729371"/>
      <w:r>
        <w:t xml:space="preserve">Internal </w:t>
      </w:r>
      <w:bookmarkEnd w:id="148"/>
      <w:r w:rsidR="00D4736F">
        <w:t>Power Sensor</w:t>
      </w:r>
      <w:bookmarkEnd w:id="149"/>
    </w:p>
    <w:p w14:paraId="74D7D530" w14:textId="45DA2AC6" w:rsidR="00587847" w:rsidRDefault="00D4736F" w:rsidP="005449AA">
      <w:pPr>
        <w:jc w:val="left"/>
      </w:pPr>
      <w:r>
        <w:t>The receiver module internal power sensor will be similar to the power sensor used for the transmitter module.  The two Pcal</w:t>
      </w:r>
      <w:r w:rsidR="00587847">
        <w:t xml:space="preserve"> beams </w:t>
      </w:r>
      <w:r>
        <w:t>will be directed into</w:t>
      </w:r>
      <w:r w:rsidR="00587847">
        <w:t xml:space="preserve"> the </w:t>
      </w:r>
      <w:r>
        <w:t xml:space="preserve">entrance </w:t>
      </w:r>
      <w:r w:rsidR="00587847">
        <w:t xml:space="preserve">aperture of the </w:t>
      </w:r>
      <w:r>
        <w:t xml:space="preserve">power sensor’s </w:t>
      </w:r>
      <w:proofErr w:type="spellStart"/>
      <w:r>
        <w:t>intetrating</w:t>
      </w:r>
      <w:proofErr w:type="spellEnd"/>
      <w:r>
        <w:t xml:space="preserve"> sphere at near-normal incidence.</w:t>
      </w:r>
      <w:r w:rsidR="00DF26CA">
        <w:t xml:space="preserve"> The receiver module will also contain a mirror </w:t>
      </w:r>
      <w:r w:rsidR="00DF26CA">
        <w:lastRenderedPageBreak/>
        <w:t xml:space="preserve">on a </w:t>
      </w:r>
      <w:r>
        <w:t>removable kinematic</w:t>
      </w:r>
      <w:r w:rsidR="00DF26CA">
        <w:t xml:space="preserve"> stage to accommodate the Working Standard for calibration measurements</w:t>
      </w:r>
      <w:r w:rsidR="00D432B9">
        <w:t xml:space="preserve"> (see </w:t>
      </w:r>
      <w:r w:rsidR="00D432B9">
        <w:fldChar w:fldCharType="begin"/>
      </w:r>
      <w:r w:rsidR="00D432B9">
        <w:instrText xml:space="preserve"> REF _Ref311619049 \h </w:instrText>
      </w:r>
      <w:r w:rsidR="00D432B9">
        <w:fldChar w:fldCharType="separate"/>
      </w:r>
      <w:r w:rsidR="00E57C6B">
        <w:t xml:space="preserve">Figure </w:t>
      </w:r>
      <w:r w:rsidR="00E57C6B">
        <w:rPr>
          <w:noProof/>
        </w:rPr>
        <w:t>27</w:t>
      </w:r>
      <w:r w:rsidR="00D432B9">
        <w:fldChar w:fldCharType="end"/>
      </w:r>
      <w:r w:rsidR="00D432B9">
        <w:t>).</w:t>
      </w:r>
    </w:p>
    <w:p w14:paraId="5A6B0D82" w14:textId="7E06A82E" w:rsidR="00D432B9" w:rsidRDefault="003F1AB1" w:rsidP="005449AA">
      <w:pPr>
        <w:keepNext/>
        <w:jc w:val="left"/>
      </w:pPr>
      <w:r>
        <w:rPr>
          <w:noProof/>
          <w:lang w:bidi="he-IL"/>
        </w:rPr>
        <w:drawing>
          <wp:inline distT="0" distB="0" distL="0" distR="0" wp14:anchorId="606EE891" wp14:editId="19DCE642">
            <wp:extent cx="5943600" cy="3387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387090"/>
                    </a:xfrm>
                    <a:prstGeom prst="rect">
                      <a:avLst/>
                    </a:prstGeom>
                  </pic:spPr>
                </pic:pic>
              </a:graphicData>
            </a:graphic>
          </wp:inline>
        </w:drawing>
      </w:r>
    </w:p>
    <w:p w14:paraId="764BF10A" w14:textId="5174A249" w:rsidR="00D432B9" w:rsidRDefault="00D432B9" w:rsidP="003F1AB1">
      <w:pPr>
        <w:pStyle w:val="Caption"/>
        <w:jc w:val="left"/>
      </w:pPr>
      <w:bookmarkStart w:id="150" w:name="_Ref311619049"/>
      <w:bookmarkStart w:id="151" w:name="_Toc168713302"/>
      <w:bookmarkStart w:id="152" w:name="_Toc311535641"/>
      <w:r>
        <w:t xml:space="preserve">Figure </w:t>
      </w:r>
      <w:fldSimple w:instr=" SEQ Figure \* ARABIC ">
        <w:r w:rsidR="00E57C6B">
          <w:rPr>
            <w:noProof/>
          </w:rPr>
          <w:t>27</w:t>
        </w:r>
      </w:fldSimple>
      <w:bookmarkEnd w:id="150"/>
      <w:r w:rsidR="003F1AB1">
        <w:t xml:space="preserve"> – Receiver M</w:t>
      </w:r>
      <w:r>
        <w:t xml:space="preserve">odule </w:t>
      </w:r>
      <w:bookmarkEnd w:id="151"/>
      <w:bookmarkEnd w:id="152"/>
      <w:r w:rsidR="003F1AB1">
        <w:t>Layout (</w:t>
      </w:r>
      <w:hyperlink r:id="rId83" w:history="1">
        <w:r w:rsidR="003F1AB1" w:rsidRPr="003F1AB1">
          <w:rPr>
            <w:rStyle w:val="Hyperlink"/>
          </w:rPr>
          <w:t>LIGO-D1200216</w:t>
        </w:r>
      </w:hyperlink>
      <w:r w:rsidR="003F1AB1">
        <w:t>).</w:t>
      </w:r>
    </w:p>
    <w:p w14:paraId="171A9318" w14:textId="77777777" w:rsidR="00587847" w:rsidRDefault="00587847" w:rsidP="005449AA">
      <w:pPr>
        <w:pStyle w:val="Heading2"/>
        <w:jc w:val="left"/>
      </w:pPr>
      <w:bookmarkStart w:id="153" w:name="_Toc170193799"/>
      <w:bookmarkStart w:id="154" w:name="_Toc321729372"/>
      <w:r>
        <w:t>Calibration of the Photodetector</w:t>
      </w:r>
      <w:bookmarkEnd w:id="153"/>
      <w:bookmarkEnd w:id="154"/>
    </w:p>
    <w:p w14:paraId="47298841" w14:textId="5D5E827E" w:rsidR="008F13E8" w:rsidRDefault="00DF26CA" w:rsidP="004A780D">
      <w:pPr>
        <w:jc w:val="left"/>
      </w:pPr>
      <w:r>
        <w:t xml:space="preserve">The receiver module’s power monitor </w:t>
      </w:r>
      <w:r w:rsidR="00587847">
        <w:t>will be calibrated about as oft</w:t>
      </w:r>
      <w:r>
        <w:t>en as the transmitter module’s power monitor.</w:t>
      </w:r>
      <w:r w:rsidR="00587847">
        <w:t xml:space="preserve"> </w:t>
      </w:r>
      <w:r w:rsidR="008F13E8">
        <w:t>Comparison of the transmitter and receiver module power sensors will enable assessment and tracking of changes in the transmissivity of the optical path between the transmitter and receiver modules – the vacuum windows and the ETM HR surface.</w:t>
      </w:r>
    </w:p>
    <w:p w14:paraId="7189AE8C" w14:textId="5F61D4B2" w:rsidR="00587847" w:rsidRDefault="00587847" w:rsidP="005449AA">
      <w:pPr>
        <w:jc w:val="left"/>
      </w:pPr>
      <w:r>
        <w:t>This is to ensure that the read-back at the receiving p</w:t>
      </w:r>
      <w:r w:rsidR="003F1397">
        <w:t>oint is stable and accurate</w:t>
      </w:r>
      <w:r>
        <w:t>.  In addition, calibration staff may elect to use both photodetectors equal agents for the interferometer calibration.</w:t>
      </w:r>
    </w:p>
    <w:p w14:paraId="49FA1EDB" w14:textId="7B9B64B3" w:rsidR="00587847" w:rsidRDefault="00587847" w:rsidP="005449AA">
      <w:pPr>
        <w:jc w:val="left"/>
      </w:pPr>
      <w:r>
        <w:t>Calibrating the receiver photodetector may be done by either the local Working Standard or by comparing the</w:t>
      </w:r>
      <w:r w:rsidR="00DF26CA">
        <w:t xml:space="preserve"> response of the</w:t>
      </w:r>
      <w:r>
        <w:t xml:space="preserve"> transmitter read-back and the receiver r</w:t>
      </w:r>
      <w:r w:rsidR="00DF26CA">
        <w:t>ead-back for a defined period.</w:t>
      </w:r>
    </w:p>
    <w:p w14:paraId="15BC6D47" w14:textId="0E067F30" w:rsidR="00587847" w:rsidRDefault="00587847" w:rsidP="005449AA">
      <w:pPr>
        <w:pStyle w:val="Heading2"/>
        <w:jc w:val="left"/>
      </w:pPr>
      <w:bookmarkStart w:id="155" w:name="_Toc170193801"/>
      <w:bookmarkStart w:id="156" w:name="_Toc321729373"/>
      <w:r>
        <w:t>Receiver Module Pylon</w:t>
      </w:r>
      <w:bookmarkEnd w:id="155"/>
      <w:bookmarkEnd w:id="156"/>
    </w:p>
    <w:p w14:paraId="025CFBEE" w14:textId="2883B1C5" w:rsidR="008F13E8" w:rsidRDefault="008F13E8" w:rsidP="005449AA">
      <w:pPr>
        <w:jc w:val="left"/>
      </w:pPr>
      <w:r>
        <w:t xml:space="preserve">The Pcal receiver modules will incorporate </w:t>
      </w:r>
      <w:r w:rsidR="00F068A1">
        <w:t xml:space="preserve">12” x 18” x </w:t>
      </w:r>
      <w:r>
        <w:t xml:space="preserve">¾” thick aluminum breadboards that will be mounted in an opening in the pylons for the Optical Lever receiver modules. </w:t>
      </w:r>
      <w:r w:rsidR="00F068A1">
        <w:t xml:space="preserve">The breadboards will have ¼”-20 tapped holes on 1” centers.  </w:t>
      </w:r>
      <w:r>
        <w:t xml:space="preserve">The Pcal receiver module will be covered on all sides </w:t>
      </w:r>
      <w:r w:rsidR="00F068A1">
        <w:t>with painted aluminum sheet metal housing that will be bolted to the Optical Lever receiver pylon</w:t>
      </w:r>
      <w:r>
        <w:t>. A viewport protector will be i</w:t>
      </w:r>
      <w:r w:rsidR="00F068A1">
        <w:t>nstalled on the viewport window and a flexible bellows will connect the Pcal receiver module enclosure to the viewport protector.</w:t>
      </w:r>
    </w:p>
    <w:p w14:paraId="78B8FF67" w14:textId="77777777" w:rsidR="00587847" w:rsidRDefault="00587847" w:rsidP="005449AA">
      <w:pPr>
        <w:keepNext/>
        <w:jc w:val="left"/>
      </w:pPr>
      <w:r>
        <w:rPr>
          <w:noProof/>
          <w:lang w:bidi="he-IL"/>
        </w:rPr>
        <w:lastRenderedPageBreak/>
        <w:drawing>
          <wp:inline distT="0" distB="0" distL="0" distR="0" wp14:anchorId="43C357C6" wp14:editId="2BA432A1">
            <wp:extent cx="2062932" cy="2984602"/>
            <wp:effectExtent l="0" t="0" r="0" b="6350"/>
            <wp:docPr id="17" name="Picture 17" descr="C:\Users\jonathan.berliner\Downloads\reimagesforreview4_14_11\Pylon Cover and Breadboard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berliner\Downloads\reimagesforreview4_14_11\Pylon Cover and Breadboard View.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64975" cy="2987558"/>
                    </a:xfrm>
                    <a:prstGeom prst="rect">
                      <a:avLst/>
                    </a:prstGeom>
                    <a:noFill/>
                    <a:ln>
                      <a:noFill/>
                    </a:ln>
                  </pic:spPr>
                </pic:pic>
              </a:graphicData>
            </a:graphic>
          </wp:inline>
        </w:drawing>
      </w:r>
    </w:p>
    <w:p w14:paraId="6C2AFE9D" w14:textId="6B409DA6" w:rsidR="00587847" w:rsidRDefault="00587847" w:rsidP="005449AA">
      <w:pPr>
        <w:pStyle w:val="Caption"/>
        <w:jc w:val="left"/>
      </w:pPr>
      <w:bookmarkStart w:id="157" w:name="_Toc168713303"/>
      <w:bookmarkStart w:id="158" w:name="_Toc311535642"/>
      <w:r>
        <w:t xml:space="preserve">Figure </w:t>
      </w:r>
      <w:fldSimple w:instr=" SEQ Figure \* ARABIC ">
        <w:r w:rsidR="00E57C6B">
          <w:rPr>
            <w:noProof/>
          </w:rPr>
          <w:t>28</w:t>
        </w:r>
      </w:fldSimple>
      <w:r>
        <w:t xml:space="preserve"> – Photon Calibrator receiver breadboard mounted inside of </w:t>
      </w:r>
      <w:r w:rsidR="00F068A1">
        <w:t xml:space="preserve">the Optical Lever receiver </w:t>
      </w:r>
      <w:r>
        <w:t>pylon</w:t>
      </w:r>
      <w:bookmarkEnd w:id="157"/>
      <w:bookmarkEnd w:id="158"/>
      <w:r w:rsidR="000537BB">
        <w:t xml:space="preserve"> with enclosure surrounding the module.</w:t>
      </w:r>
    </w:p>
    <w:p w14:paraId="0C961DFC" w14:textId="1F1F6179" w:rsidR="00587847" w:rsidRDefault="00587847" w:rsidP="005449AA">
      <w:pPr>
        <w:jc w:val="left"/>
      </w:pPr>
    </w:p>
    <w:p w14:paraId="325F2D23" w14:textId="4F930343" w:rsidR="00A01613" w:rsidRDefault="00DA1E67" w:rsidP="005449AA">
      <w:pPr>
        <w:pStyle w:val="Heading1"/>
        <w:jc w:val="left"/>
      </w:pPr>
      <w:bookmarkStart w:id="159" w:name="_Ref311711397"/>
      <w:bookmarkStart w:id="160" w:name="_Ref311712447"/>
      <w:bookmarkStart w:id="161" w:name="_Ref311715482"/>
      <w:r>
        <w:t xml:space="preserve"> </w:t>
      </w:r>
      <w:bookmarkStart w:id="162" w:name="_Ref187190960"/>
      <w:bookmarkStart w:id="163" w:name="_Toc321729374"/>
      <w:r w:rsidR="00A01613">
        <w:t>Absolute Laser Power Calibration</w:t>
      </w:r>
      <w:bookmarkEnd w:id="159"/>
      <w:bookmarkEnd w:id="160"/>
      <w:bookmarkEnd w:id="161"/>
      <w:bookmarkEnd w:id="162"/>
      <w:bookmarkEnd w:id="163"/>
    </w:p>
    <w:p w14:paraId="4B6A5F2E" w14:textId="111B275E" w:rsidR="00AA78D1" w:rsidRDefault="00AA78D1" w:rsidP="005449AA">
      <w:pPr>
        <w:jc w:val="left"/>
      </w:pPr>
      <w:r>
        <w:t xml:space="preserve">The absolute power calibration strategy described in Section </w:t>
      </w:r>
      <w:r>
        <w:fldChar w:fldCharType="begin"/>
      </w:r>
      <w:r>
        <w:instrText xml:space="preserve"> REF _Ref311715281 \r \h </w:instrText>
      </w:r>
      <w:r>
        <w:fldChar w:fldCharType="separate"/>
      </w:r>
      <w:r w:rsidR="00E57C6B">
        <w:rPr>
          <w:cs/>
        </w:rPr>
        <w:t>‎</w:t>
      </w:r>
      <w:r w:rsidR="00E57C6B">
        <w:t>2.1</w:t>
      </w:r>
      <w:r>
        <w:fldChar w:fldCharType="end"/>
      </w:r>
      <w:r>
        <w:t xml:space="preserve"> </w:t>
      </w:r>
      <w:r w:rsidR="009D334D">
        <w:t>relies on a Gold Stan</w:t>
      </w:r>
      <w:r w:rsidR="001336AF">
        <w:t>dard that is calibrated by NIST and Working Standards that are used to calibrate the Pcal power sensors located inside of the transmitter and receiver modules.</w:t>
      </w:r>
    </w:p>
    <w:p w14:paraId="23ED38AD" w14:textId="77777777" w:rsidR="00A01613" w:rsidRDefault="00A01613" w:rsidP="005449AA">
      <w:pPr>
        <w:pStyle w:val="Heading2"/>
        <w:jc w:val="left"/>
      </w:pPr>
      <w:bookmarkStart w:id="164" w:name="_Toc170193755"/>
      <w:bookmarkStart w:id="165" w:name="_Ref311556328"/>
      <w:bookmarkStart w:id="166" w:name="_Ref311556336"/>
      <w:bookmarkStart w:id="167" w:name="_Toc321729375"/>
      <w:r>
        <w:t>The Gold Standard Laser Power Sensor</w:t>
      </w:r>
      <w:bookmarkEnd w:id="164"/>
      <w:bookmarkEnd w:id="165"/>
      <w:bookmarkEnd w:id="166"/>
      <w:bookmarkEnd w:id="167"/>
    </w:p>
    <w:p w14:paraId="5EA40356" w14:textId="2AACD12F" w:rsidR="00A01613" w:rsidRDefault="00A01613" w:rsidP="005449AA">
      <w:pPr>
        <w:jc w:val="left"/>
      </w:pPr>
      <w:r>
        <w:t>The power sensor that is sent to NIST for absolute power calibration is re</w:t>
      </w:r>
      <w:r w:rsidR="001767A9">
        <w:t>ferred to as the Gold Standard.</w:t>
      </w:r>
      <w:r>
        <w:t xml:space="preserve"> NIST calibrates LIGO’s Gold Standard according to guidelines specified in NIST document </w:t>
      </w:r>
      <w:hyperlink r:id="rId85" w:history="1">
        <w:r w:rsidRPr="00B71008">
          <w:rPr>
            <w:rStyle w:val="Hyperlink"/>
          </w:rPr>
          <w:t>SP 250-75</w:t>
        </w:r>
      </w:hyperlink>
      <w:r>
        <w:t>. LIGO donat</w:t>
      </w:r>
      <w:r w:rsidR="001767A9">
        <w:t>ed a 1047</w:t>
      </w:r>
      <w:r>
        <w:t xml:space="preserve">nm laser to NIST for use in calibrating </w:t>
      </w:r>
      <w:r w:rsidR="001767A9">
        <w:t>the eLIGO Gold Standard.</w:t>
      </w:r>
      <w:r>
        <w:t xml:space="preserve"> This significantly reduces the cost to LIGO for</w:t>
      </w:r>
      <w:r w:rsidR="001767A9">
        <w:t xml:space="preserve"> the NIST’s calibration services.</w:t>
      </w:r>
      <w:r>
        <w:t xml:space="preserve"> </w:t>
      </w:r>
      <w:r w:rsidR="001767A9">
        <w:t>During eLIGO, NIST achieved</w:t>
      </w:r>
      <w:r>
        <w:t xml:space="preserve"> a calibration precision </w:t>
      </w:r>
      <w:proofErr w:type="gramStart"/>
      <w:r>
        <w:t xml:space="preserve">of </w:t>
      </w:r>
      <m:oMath>
        <m:f>
          <m:fPr>
            <m:ctrlPr>
              <w:rPr>
                <w:rFonts w:ascii="Cambria Math" w:hAnsi="Cambria Math"/>
                <w:i/>
              </w:rPr>
            </m:ctrlPr>
          </m:fPr>
          <m:num>
            <w:proofErr w:type="gramEnd"/>
            <m:r>
              <w:rPr>
                <w:rFonts w:ascii="Cambria Math" w:hAnsi="Cambria Math"/>
              </w:rPr>
              <m:t>2σ</m:t>
            </m:r>
          </m:num>
          <m:den>
            <m:r>
              <w:rPr>
                <w:rFonts w:ascii="Cambria Math" w:hAnsi="Cambria Math"/>
              </w:rPr>
              <m:t>μ</m:t>
            </m:r>
          </m:den>
        </m:f>
        <m:r>
          <w:rPr>
            <w:rFonts w:ascii="Cambria Math" w:hAnsi="Cambria Math"/>
          </w:rPr>
          <m:t>&lt;1%</m:t>
        </m:r>
      </m:oMath>
      <w:r>
        <w:t xml:space="preserve"> .  The Gold Standard will be sent to NIST </w:t>
      </w:r>
      <w:r w:rsidR="001767A9">
        <w:t>annually</w:t>
      </w:r>
      <w:r>
        <w:t xml:space="preserve"> for </w:t>
      </w:r>
      <w:r w:rsidR="001767A9">
        <w:t>calibration.</w:t>
      </w:r>
      <w:r>
        <w:t xml:space="preserve"> The cost is approximately $8000.00 per calibration.</w:t>
      </w:r>
    </w:p>
    <w:p w14:paraId="5520E6D0" w14:textId="18C152A3" w:rsidR="00A01613" w:rsidRDefault="00A01613" w:rsidP="005449AA">
      <w:pPr>
        <w:jc w:val="left"/>
      </w:pPr>
      <w:r>
        <w:t xml:space="preserve">Both the Gold Standard and the Working Standards </w:t>
      </w:r>
      <w:r w:rsidR="001767A9">
        <w:t xml:space="preserve">use 4” </w:t>
      </w:r>
      <w:r>
        <w:t>diameter integrating spheres manufactured b</w:t>
      </w:r>
      <w:r w:rsidR="001767A9">
        <w:t>y Labsphere in North Sutton, NH</w:t>
      </w:r>
      <w:r>
        <w:t xml:space="preserve"> (model </w:t>
      </w:r>
      <w:hyperlink r:id="rId86" w:history="1">
        <w:r w:rsidRPr="0097410E">
          <w:rPr>
            <w:rStyle w:val="Hyperlink"/>
          </w:rPr>
          <w:t>3P-040-LPM-SL</w:t>
        </w:r>
      </w:hyperlink>
      <w:r>
        <w:t xml:space="preserve">) with Spectralon surface coatings, 1” diameter entrance apertures, and ½” diameter detector apertures. </w:t>
      </w:r>
    </w:p>
    <w:p w14:paraId="6A439AF8" w14:textId="34FB2F8E" w:rsidR="00A01613" w:rsidRDefault="001767A9" w:rsidP="005449AA">
      <w:pPr>
        <w:jc w:val="left"/>
      </w:pPr>
      <w:r>
        <w:t>R</w:t>
      </w:r>
      <w:r w:rsidR="00A01613">
        <w:t xml:space="preserve">eceiver module packages sold by Labsphere </w:t>
      </w:r>
      <w:r>
        <w:t>are</w:t>
      </w:r>
      <w:r w:rsidR="00A01613">
        <w:t xml:space="preserve"> used. The photodetectors for these packages are manufactured by Electro-Optical Systems (model IGA-03</w:t>
      </w:r>
      <w:r w:rsidR="00A01613" w:rsidRPr="00B96B88">
        <w:t>0-</w:t>
      </w:r>
      <w:r w:rsidR="00A01613">
        <w:t>TE2-</w:t>
      </w:r>
      <w:r w:rsidR="00A01613" w:rsidRPr="00B96B88">
        <w:t>H</w:t>
      </w:r>
      <w:r w:rsidR="00A01613">
        <w:t xml:space="preserve">), of Phoenixville, PA, </w:t>
      </w:r>
      <w:r>
        <w:t xml:space="preserve">and </w:t>
      </w:r>
      <w:r w:rsidR="00A01613">
        <w:t>are moun</w:t>
      </w:r>
      <w:r>
        <w:t>ted to the spheres.</w:t>
      </w:r>
      <w:r w:rsidR="00A01613">
        <w:t xml:space="preserve"> These receivers use hermetically-sealed InGaAs photodetectors moun</w:t>
      </w:r>
      <w:r>
        <w:t>ted on thermo-electric coolers.</w:t>
      </w:r>
      <w:r w:rsidR="00A01613">
        <w:t xml:space="preserve"> We operate them at –10°C.  These receivers are operated unbiased, in “photovoltaic” mode. Their photocurrents are converted to voltages by fast current amplifiers sold by Keithl</w:t>
      </w:r>
      <w:r>
        <w:t xml:space="preserve">ey Instruments of Cleveland, OH (model </w:t>
      </w:r>
      <w:hyperlink r:id="rId87" w:history="1">
        <w:r w:rsidRPr="001767A9">
          <w:rPr>
            <w:rStyle w:val="Hyperlink"/>
          </w:rPr>
          <w:t>428</w:t>
        </w:r>
        <w:r w:rsidR="00A01613" w:rsidRPr="001767A9">
          <w:rPr>
            <w:rStyle w:val="Hyperlink"/>
          </w:rPr>
          <w:t xml:space="preserve"> PROG</w:t>
        </w:r>
      </w:hyperlink>
      <w:r w:rsidR="00A01613">
        <w:t>).  The outputs are read and digi</w:t>
      </w:r>
      <w:r>
        <w:t xml:space="preserve">tized </w:t>
      </w:r>
      <w:r w:rsidR="00F068A1">
        <w:lastRenderedPageBreak/>
        <w:t>by Keithley M</w:t>
      </w:r>
      <w:r>
        <w:t xml:space="preserve">odel </w:t>
      </w:r>
      <w:hyperlink r:id="rId88" w:history="1">
        <w:r w:rsidRPr="001767A9">
          <w:rPr>
            <w:rStyle w:val="Hyperlink"/>
          </w:rPr>
          <w:t>2000</w:t>
        </w:r>
      </w:hyperlink>
      <w:r w:rsidR="00A01613">
        <w:t xml:space="preserve"> digital multi-meters.  The Working Standard system, which is identical to the Gold Standard system, is show in </w:t>
      </w:r>
      <w:r w:rsidR="00A01613">
        <w:fldChar w:fldCharType="begin"/>
      </w:r>
      <w:r w:rsidR="00A01613">
        <w:instrText xml:space="preserve"> REF _Ref168966799 \h </w:instrText>
      </w:r>
      <w:r w:rsidR="00A01613">
        <w:fldChar w:fldCharType="separate"/>
      </w:r>
      <w:r w:rsidR="00E57C6B">
        <w:t xml:space="preserve">Figure </w:t>
      </w:r>
      <w:r w:rsidR="00E57C6B">
        <w:rPr>
          <w:noProof/>
        </w:rPr>
        <w:t>29</w:t>
      </w:r>
      <w:r w:rsidR="00A01613">
        <w:fldChar w:fldCharType="end"/>
      </w:r>
      <w:r w:rsidR="00A01613">
        <w:t>.</w:t>
      </w:r>
    </w:p>
    <w:p w14:paraId="3E9CFB07" w14:textId="77777777" w:rsidR="00A01613" w:rsidRDefault="00A01613" w:rsidP="005449AA">
      <w:pPr>
        <w:keepNext/>
        <w:jc w:val="left"/>
      </w:pPr>
      <w:r>
        <w:rPr>
          <w:noProof/>
          <w:lang w:bidi="he-IL"/>
        </w:rPr>
        <w:drawing>
          <wp:inline distT="0" distB="0" distL="0" distR="0" wp14:anchorId="3329E051" wp14:editId="688F4403">
            <wp:extent cx="4111143" cy="3083571"/>
            <wp:effectExtent l="0" t="0" r="3810" b="2540"/>
            <wp:docPr id="28907" name="Picture 2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ndard.JPG"/>
                    <pic:cNvPicPr/>
                  </pic:nvPicPr>
                  <pic:blipFill>
                    <a:blip r:embed="rId89">
                      <a:extLst>
                        <a:ext uri="{28A0092B-C50C-407E-A947-70E740481C1C}">
                          <a14:useLocalDpi xmlns:a14="http://schemas.microsoft.com/office/drawing/2010/main" val="0"/>
                        </a:ext>
                      </a:extLst>
                    </a:blip>
                    <a:stretch>
                      <a:fillRect/>
                    </a:stretch>
                  </pic:blipFill>
                  <pic:spPr>
                    <a:xfrm>
                      <a:off x="0" y="0"/>
                      <a:ext cx="4110858" cy="3083357"/>
                    </a:xfrm>
                    <a:prstGeom prst="rect">
                      <a:avLst/>
                    </a:prstGeom>
                  </pic:spPr>
                </pic:pic>
              </a:graphicData>
            </a:graphic>
          </wp:inline>
        </w:drawing>
      </w:r>
    </w:p>
    <w:p w14:paraId="27571AB4" w14:textId="15D2374A" w:rsidR="00A01613" w:rsidRDefault="00A01613" w:rsidP="005449AA">
      <w:pPr>
        <w:pStyle w:val="Caption"/>
        <w:jc w:val="left"/>
      </w:pPr>
      <w:bookmarkStart w:id="168" w:name="_Ref168966799"/>
      <w:bookmarkStart w:id="169" w:name="_Toc168713274"/>
      <w:bookmarkStart w:id="170" w:name="_Toc311535626"/>
      <w:r>
        <w:t xml:space="preserve">Figure </w:t>
      </w:r>
      <w:fldSimple w:instr=" SEQ Figure \* ARABIC ">
        <w:r w:rsidR="00E57C6B">
          <w:rPr>
            <w:noProof/>
          </w:rPr>
          <w:t>29</w:t>
        </w:r>
      </w:fldSimple>
      <w:bookmarkEnd w:id="168"/>
      <w:r>
        <w:t xml:space="preserve"> – eLIGO Working Standard power sensor including the integrating sphere, photo-receiver module, fast current amplifier</w:t>
      </w:r>
      <w:r w:rsidR="001767A9">
        <w:t>,</w:t>
      </w:r>
      <w:r>
        <w:t xml:space="preserve"> digital </w:t>
      </w:r>
      <w:proofErr w:type="spellStart"/>
      <w:r>
        <w:t>multimeter</w:t>
      </w:r>
      <w:proofErr w:type="spellEnd"/>
      <w:r>
        <w:t xml:space="preserve">, and </w:t>
      </w:r>
      <w:r w:rsidR="001767A9">
        <w:t>power supply/</w:t>
      </w:r>
      <w:r>
        <w:t>thermo-electric cooler controller.</w:t>
      </w:r>
      <w:bookmarkEnd w:id="169"/>
      <w:bookmarkEnd w:id="170"/>
    </w:p>
    <w:p w14:paraId="53A83917" w14:textId="5E051A48" w:rsidR="00A01613" w:rsidRDefault="00F068A1" w:rsidP="005449AA">
      <w:pPr>
        <w:jc w:val="left"/>
      </w:pPr>
      <w:r>
        <w:t>Using</w:t>
      </w:r>
      <w:r w:rsidR="00A01613">
        <w:t xml:space="preserve"> the Gold and Working standards </w:t>
      </w:r>
      <w:r w:rsidR="001767A9">
        <w:t>since</w:t>
      </w:r>
      <w:r w:rsidR="00A01613">
        <w:t xml:space="preserve"> 2007, we have found the receiver module manufactured (packaged) by Labsphere to be less stable and less reliable than photo-receiver modules manufactured and sold b</w:t>
      </w:r>
      <w:r w:rsidR="007E4080">
        <w:t xml:space="preserve">y </w:t>
      </w:r>
      <w:proofErr w:type="spellStart"/>
      <w:r w:rsidR="007E4080">
        <w:t>Elecro</w:t>
      </w:r>
      <w:proofErr w:type="spellEnd"/>
      <w:r w:rsidR="007E4080">
        <w:t>-Optical Systems (EOS).</w:t>
      </w:r>
      <w:r w:rsidR="00A01613">
        <w:t xml:space="preserve"> These modules use the same detector package as the Labsphere receivers, but with better-engineered heat sinking and an integrated transimpedance pre-amplifier that uses </w:t>
      </w:r>
      <w:r w:rsidR="007E4080">
        <w:t>a single operational amplifier.</w:t>
      </w:r>
      <w:r w:rsidR="00A01613">
        <w:t xml:space="preserve"> During eLIGO, the Pcal systems at both LHO and LLO used internal power sensors that inc</w:t>
      </w:r>
      <w:r w:rsidR="007E4080">
        <w:t xml:space="preserve">orporated these EOS receivers. </w:t>
      </w:r>
      <w:r w:rsidR="00A01613">
        <w:t xml:space="preserve">For aLIGO, we plan to switch to the EOS receiver modules on both the Gold and Working </w:t>
      </w:r>
      <w:r w:rsidR="007E4080">
        <w:t>standards.</w:t>
      </w:r>
      <w:r w:rsidR="00A01613">
        <w:t xml:space="preserve"> We will likely also operate the receivers at room temperature, reducing the complexity by eliminating the </w:t>
      </w:r>
      <w:r w:rsidR="00A01613" w:rsidRPr="004D6393">
        <w:rPr>
          <w:bCs/>
        </w:rPr>
        <w:t>thermoelectric cooler temperature stabilization control loop</w:t>
      </w:r>
      <w:r w:rsidR="007E4080">
        <w:t xml:space="preserve"> and thus improving reliability, as</w:t>
      </w:r>
      <w:r w:rsidR="00A01613">
        <w:t xml:space="preserve"> we have had </w:t>
      </w:r>
      <w:r>
        <w:t xml:space="preserve">several </w:t>
      </w:r>
      <w:r w:rsidR="00A01613">
        <w:t>failures of the power supplies and temperature stabilization controllers. InGaAs is sufficiently insensitive to temperature variations at this wavelength and the variations in ambient and sphere temperatures are small enough that operating at room temperature should not introduce significant changes in the absolute calibration</w:t>
      </w:r>
      <w:r w:rsidR="00A01613" w:rsidRPr="004D6393">
        <w:rPr>
          <w:bCs/>
        </w:rPr>
        <w:t>.</w:t>
      </w:r>
    </w:p>
    <w:p w14:paraId="77A30F0E" w14:textId="77777777" w:rsidR="00A01613" w:rsidRPr="004E25DA" w:rsidRDefault="00A01613" w:rsidP="005449AA">
      <w:pPr>
        <w:pStyle w:val="Heading2"/>
        <w:jc w:val="left"/>
      </w:pPr>
      <w:bookmarkStart w:id="171" w:name="_Toc170193756"/>
      <w:bookmarkStart w:id="172" w:name="_Toc321729376"/>
      <w:r>
        <w:t>The Working Standard Laser Power Sensors</w:t>
      </w:r>
      <w:bookmarkEnd w:id="171"/>
      <w:bookmarkEnd w:id="172"/>
    </w:p>
    <w:p w14:paraId="525FB467" w14:textId="1F418828" w:rsidR="00A01613" w:rsidRDefault="00A01613" w:rsidP="005449AA">
      <w:pPr>
        <w:jc w:val="left"/>
      </w:pPr>
      <w:r>
        <w:t>Calibrating the Pcal internal power sensors (in both the transmission and receiver modules) for absolute power calibration requires travel to the end station</w:t>
      </w:r>
      <w:r w:rsidR="00F068A1">
        <w:t>s</w:t>
      </w:r>
      <w:r>
        <w:t xml:space="preserve"> with a NIST-traceable</w:t>
      </w:r>
      <w:r w:rsidR="007E4080">
        <w:t xml:space="preserve"> standard, at both LHO and LLO.</w:t>
      </w:r>
      <w:r>
        <w:t xml:space="preserve"> Rather than </w:t>
      </w:r>
      <w:r w:rsidR="007E4080">
        <w:t>taking</w:t>
      </w:r>
      <w:r>
        <w:t xml:space="preserve"> the Gold Standard to the end stations, we establish derivative standards </w:t>
      </w:r>
      <w:r w:rsidR="007E4080">
        <w:t>called</w:t>
      </w:r>
      <w:r>
        <w:t xml:space="preserve"> </w:t>
      </w:r>
      <w:r>
        <w:rPr>
          <w:i/>
        </w:rPr>
        <w:t>Working Standards.</w:t>
      </w:r>
      <w:r>
        <w:t xml:space="preserve"> During eLIGO, there was only one Working Standard and we shipped it periodically to LLO to c</w:t>
      </w:r>
      <w:r w:rsidR="007E4080">
        <w:t>alibrate the L1 interferometer.</w:t>
      </w:r>
      <w:r>
        <w:t xml:space="preserve"> During aLIGO, there will be two Working Standards, both of which will be calibrated periodically </w:t>
      </w:r>
      <w:r w:rsidR="007E4080">
        <w:t>to the Gold Standard.</w:t>
      </w:r>
      <w:r>
        <w:t xml:space="preserve"> This will allow us to increase the frequency of calibrations of the power sensors at the </w:t>
      </w:r>
      <w:r>
        <w:lastRenderedPageBreak/>
        <w:t>end stations at LLO and reduc</w:t>
      </w:r>
      <w:r w:rsidR="007E4080">
        <w:t>e the number of times that Working S</w:t>
      </w:r>
      <w:r>
        <w:t>tandards need to be shipped between sites</w:t>
      </w:r>
      <w:r w:rsidR="00D42215">
        <w:t>, saving about $1,000 in round trip shipping costs</w:t>
      </w:r>
      <w:r>
        <w:t xml:space="preserve">. </w:t>
      </w:r>
    </w:p>
    <w:p w14:paraId="3989395E" w14:textId="77777777" w:rsidR="006B25AE" w:rsidRDefault="00F53751" w:rsidP="005449AA">
      <w:pPr>
        <w:pStyle w:val="Heading1"/>
        <w:jc w:val="left"/>
      </w:pPr>
      <w:bookmarkStart w:id="173" w:name="_Ref311711452"/>
      <w:bookmarkStart w:id="174" w:name="_Toc321729377"/>
      <w:r>
        <w:t>Calibration Procedures</w:t>
      </w:r>
      <w:bookmarkStart w:id="175" w:name="_Toc170193757"/>
      <w:bookmarkEnd w:id="174"/>
    </w:p>
    <w:p w14:paraId="68C6F61B" w14:textId="36710406" w:rsidR="006B25AE" w:rsidRDefault="000724CA" w:rsidP="005449AA">
      <w:pPr>
        <w:pStyle w:val="Heading2"/>
        <w:jc w:val="left"/>
      </w:pPr>
      <w:bookmarkStart w:id="176" w:name="_Toc321729378"/>
      <w:bookmarkEnd w:id="175"/>
      <w:r>
        <w:t>Calibration of the Working Standard</w:t>
      </w:r>
      <w:bookmarkEnd w:id="176"/>
    </w:p>
    <w:p w14:paraId="33DC485F" w14:textId="270460AA" w:rsidR="006B25AE" w:rsidRDefault="006B25AE" w:rsidP="005449AA">
      <w:pPr>
        <w:jc w:val="left"/>
      </w:pPr>
      <w:r>
        <w:t xml:space="preserve">The Gold Standard calibration (from NIST) is transferred to the Working Standard using the optical configuration shown schematically in </w:t>
      </w:r>
      <w:r>
        <w:fldChar w:fldCharType="begin"/>
      </w:r>
      <w:r>
        <w:instrText xml:space="preserve"> REF _Ref168967842 \h </w:instrText>
      </w:r>
      <w:r>
        <w:fldChar w:fldCharType="separate"/>
      </w:r>
      <w:r w:rsidR="00E57C6B">
        <w:t xml:space="preserve">Figure </w:t>
      </w:r>
      <w:r w:rsidR="00E57C6B">
        <w:rPr>
          <w:noProof/>
        </w:rPr>
        <w:t>30</w:t>
      </w:r>
      <w:r>
        <w:fldChar w:fldCharType="end"/>
      </w:r>
      <w:r>
        <w:t xml:space="preserve">. </w:t>
      </w:r>
    </w:p>
    <w:p w14:paraId="24D120D5" w14:textId="77777777" w:rsidR="006B25AE" w:rsidRDefault="006B25AE" w:rsidP="005449AA">
      <w:pPr>
        <w:keepNext/>
        <w:jc w:val="left"/>
      </w:pPr>
      <w:r>
        <w:rPr>
          <w:noProof/>
          <w:lang w:bidi="he-IL"/>
        </w:rPr>
        <w:drawing>
          <wp:inline distT="0" distB="0" distL="0" distR="0" wp14:anchorId="3BDD9B4A" wp14:editId="3F9B34A2">
            <wp:extent cx="5943600" cy="2608580"/>
            <wp:effectExtent l="0" t="0" r="0" b="1270"/>
            <wp:docPr id="28904" name="Picture 2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2608580"/>
                    </a:xfrm>
                    <a:prstGeom prst="rect">
                      <a:avLst/>
                    </a:prstGeom>
                  </pic:spPr>
                </pic:pic>
              </a:graphicData>
            </a:graphic>
          </wp:inline>
        </w:drawing>
      </w:r>
    </w:p>
    <w:p w14:paraId="05E54753" w14:textId="77777777" w:rsidR="006B25AE" w:rsidRPr="00832EC7" w:rsidRDefault="006B25AE" w:rsidP="005449AA">
      <w:pPr>
        <w:pStyle w:val="Caption"/>
        <w:jc w:val="left"/>
      </w:pPr>
      <w:bookmarkStart w:id="177" w:name="_Ref168967842"/>
      <w:bookmarkStart w:id="178" w:name="_Toc168713275"/>
      <w:bookmarkStart w:id="179" w:name="_Toc311535627"/>
      <w:r>
        <w:t xml:space="preserve">Figure </w:t>
      </w:r>
      <w:fldSimple w:instr=" SEQ Figure \* ARABIC ">
        <w:r w:rsidR="00E57C6B">
          <w:rPr>
            <w:noProof/>
          </w:rPr>
          <w:t>30</w:t>
        </w:r>
      </w:fldSimple>
      <w:bookmarkEnd w:id="177"/>
      <w:r>
        <w:rPr>
          <w:noProof/>
        </w:rPr>
        <w:t xml:space="preserve"> – Working Standard-Gold Standard calibration </w:t>
      </w:r>
      <w:bookmarkEnd w:id="178"/>
      <w:r>
        <w:rPr>
          <w:noProof/>
        </w:rPr>
        <w:t>setup</w:t>
      </w:r>
      <w:bookmarkEnd w:id="179"/>
    </w:p>
    <w:p w14:paraId="47EDFA9E" w14:textId="09DC1C84" w:rsidR="006B25AE" w:rsidRDefault="006B25AE" w:rsidP="005449AA">
      <w:pPr>
        <w:jc w:val="left"/>
      </w:pPr>
      <w:r>
        <w:t xml:space="preserve">A photograph of the actual setup, located in one of the optical laboratories at </w:t>
      </w:r>
      <w:r w:rsidR="00406E71">
        <w:t>LIGO</w:t>
      </w:r>
      <w:r>
        <w:t xml:space="preserve"> Hanford Observatory, is shown in </w:t>
      </w:r>
      <w:r>
        <w:fldChar w:fldCharType="begin"/>
      </w:r>
      <w:r>
        <w:instrText xml:space="preserve"> REF _Ref168968415 \h </w:instrText>
      </w:r>
      <w:r>
        <w:fldChar w:fldCharType="separate"/>
      </w:r>
      <w:r w:rsidR="00E57C6B">
        <w:t xml:space="preserve">Figure </w:t>
      </w:r>
      <w:r w:rsidR="00E57C6B">
        <w:rPr>
          <w:noProof/>
        </w:rPr>
        <w:t>31</w:t>
      </w:r>
      <w:r>
        <w:fldChar w:fldCharType="end"/>
      </w:r>
      <w:r>
        <w:t>.</w:t>
      </w:r>
    </w:p>
    <w:p w14:paraId="0FB45379" w14:textId="77777777" w:rsidR="006B25AE" w:rsidRDefault="006B25AE" w:rsidP="005449AA">
      <w:pPr>
        <w:keepNext/>
        <w:jc w:val="left"/>
      </w:pPr>
      <w:r>
        <w:rPr>
          <w:noProof/>
          <w:lang w:bidi="he-IL"/>
        </w:rPr>
        <w:lastRenderedPageBreak/>
        <w:drawing>
          <wp:inline distT="0" distB="0" distL="0" distR="0" wp14:anchorId="403F0105" wp14:editId="4C16F24F">
            <wp:extent cx="5486019" cy="4114800"/>
            <wp:effectExtent l="0" t="0" r="635" b="0"/>
            <wp:docPr id="28908" name="Picture 2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Transfer.JPG"/>
                    <pic:cNvPicPr/>
                  </pic:nvPicPr>
                  <pic:blipFill>
                    <a:blip r:embed="rId91">
                      <a:extLst>
                        <a:ext uri="{28A0092B-C50C-407E-A947-70E740481C1C}">
                          <a14:useLocalDpi xmlns:a14="http://schemas.microsoft.com/office/drawing/2010/main" val="0"/>
                        </a:ext>
                      </a:extLst>
                    </a:blip>
                    <a:stretch>
                      <a:fillRect/>
                    </a:stretch>
                  </pic:blipFill>
                  <pic:spPr>
                    <a:xfrm>
                      <a:off x="0" y="0"/>
                      <a:ext cx="5486019" cy="4114800"/>
                    </a:xfrm>
                    <a:prstGeom prst="rect">
                      <a:avLst/>
                    </a:prstGeom>
                  </pic:spPr>
                </pic:pic>
              </a:graphicData>
            </a:graphic>
          </wp:inline>
        </w:drawing>
      </w:r>
    </w:p>
    <w:p w14:paraId="13F2F4CB" w14:textId="019ECA83" w:rsidR="006B25AE" w:rsidRDefault="006B25AE" w:rsidP="005449AA">
      <w:pPr>
        <w:pStyle w:val="Caption"/>
        <w:jc w:val="left"/>
      </w:pPr>
      <w:bookmarkStart w:id="180" w:name="_Ref168968415"/>
      <w:bookmarkStart w:id="181" w:name="_Toc311535628"/>
      <w:r>
        <w:t xml:space="preserve">Figure </w:t>
      </w:r>
      <w:fldSimple w:instr=" SEQ Figure \* ARABIC ">
        <w:r w:rsidR="00E57C6B">
          <w:rPr>
            <w:noProof/>
          </w:rPr>
          <w:t>31</w:t>
        </w:r>
      </w:fldSimple>
      <w:bookmarkEnd w:id="180"/>
      <w:r>
        <w:t xml:space="preserve"> - Photo of optical setup for transferring the NIST calibration </w:t>
      </w:r>
      <w:r w:rsidR="00077242">
        <w:t>from</w:t>
      </w:r>
      <w:r>
        <w:t xml:space="preserve"> the Gold Standard (left, foreground) to the Working Standard</w:t>
      </w:r>
      <w:bookmarkEnd w:id="181"/>
      <w:r>
        <w:t xml:space="preserve"> (right, background)</w:t>
      </w:r>
    </w:p>
    <w:p w14:paraId="6AA5CD2F" w14:textId="36E48DEB" w:rsidR="006B25AE" w:rsidRDefault="006B25AE" w:rsidP="005449AA">
      <w:pPr>
        <w:jc w:val="left"/>
      </w:pPr>
      <w:r>
        <w:t xml:space="preserve">The laser </w:t>
      </w:r>
      <w:r w:rsidR="00D42215">
        <w:t>used in this setup</w:t>
      </w:r>
      <w:r>
        <w:t xml:space="preserve"> is identical to the lasers that are used in</w:t>
      </w:r>
      <w:r w:rsidR="00077242">
        <w:t xml:space="preserve"> the Pcal transmitter modules. </w:t>
      </w:r>
      <w:r>
        <w:t>The beamsplitter is a 2” diam</w:t>
      </w:r>
      <w:r w:rsidR="00D42215">
        <w:t>eter</w:t>
      </w:r>
      <w:proofErr w:type="gramStart"/>
      <w:r w:rsidR="00D42215">
        <w:t xml:space="preserve">, </w:t>
      </w:r>
      <w:r w:rsidR="00077242">
        <w:t xml:space="preserve"> fused</w:t>
      </w:r>
      <w:proofErr w:type="gramEnd"/>
      <w:r w:rsidR="00077242">
        <w:t xml:space="preserve"> silica, 3°</w:t>
      </w:r>
      <w:r>
        <w:t xml:space="preserve"> </w:t>
      </w:r>
      <w:r w:rsidR="00077242">
        <w:t>wedge</w:t>
      </w:r>
      <w:r w:rsidR="00D42215">
        <w:t xml:space="preserve"> with a nominal 50% reflectivity</w:t>
      </w:r>
      <w:r w:rsidR="00077242">
        <w:t>.</w:t>
      </w:r>
      <w:r>
        <w:t xml:space="preserve"> The detailed procedure for transferring the calibration can be found in </w:t>
      </w:r>
      <w:hyperlink r:id="rId92" w:history="1">
        <w:r w:rsidRPr="00E20C1F">
          <w:rPr>
            <w:rStyle w:val="Hyperlink"/>
          </w:rPr>
          <w:t>LIGO-T1100315</w:t>
        </w:r>
      </w:hyperlink>
      <w:r>
        <w:t xml:space="preserve">. In summary, each of the two sensors measures light at one of two ports of the beamsplitter (transmission or reflection), data are recorded simultaneously, </w:t>
      </w:r>
      <w:r w:rsidR="00077242">
        <w:t>and then</w:t>
      </w:r>
      <w:r>
        <w:t xml:space="preserve"> the locations of the power sensors are swapped (reversed) and the measurements are repeated.</w:t>
      </w:r>
    </w:p>
    <w:p w14:paraId="75BD822D" w14:textId="4856A218" w:rsidR="006B25AE" w:rsidRPr="00C674A8" w:rsidRDefault="006B25AE" w:rsidP="005449AA">
      <w:pPr>
        <w:jc w:val="left"/>
        <w:rPr>
          <w:sz w:val="22"/>
          <w:szCs w:val="18"/>
        </w:rPr>
      </w:pPr>
      <w:r>
        <w:t xml:space="preserve">The relative calibration of the Working Standard is calculated </w:t>
      </w:r>
      <w:r w:rsidR="00D42215">
        <w:t>as follows</w:t>
      </w:r>
      <w:r w:rsidR="00077242">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8825"/>
        <w:gridCol w:w="490"/>
      </w:tblGrid>
      <w:tr w:rsidR="006B25AE" w:rsidRPr="00C674A8" w14:paraId="1B0E6656" w14:textId="77777777" w:rsidTr="0099128E">
        <w:tc>
          <w:tcPr>
            <w:tcW w:w="250" w:type="pct"/>
          </w:tcPr>
          <w:p w14:paraId="0237ED17" w14:textId="77777777" w:rsidR="006B25AE" w:rsidRPr="00C674A8" w:rsidRDefault="006B25AE" w:rsidP="005449AA">
            <w:pPr>
              <w:jc w:val="left"/>
              <w:rPr>
                <w:sz w:val="22"/>
                <w:szCs w:val="18"/>
              </w:rPr>
            </w:pPr>
          </w:p>
        </w:tc>
        <w:tc>
          <w:tcPr>
            <w:tcW w:w="4500" w:type="pct"/>
          </w:tcPr>
          <w:p w14:paraId="368F3EAF" w14:textId="77777777" w:rsidR="006B25AE" w:rsidRPr="00C674A8" w:rsidRDefault="00E57C6B" w:rsidP="005449AA">
            <w:pPr>
              <w:jc w:val="left"/>
              <w:rPr>
                <w:sz w:val="22"/>
                <w:szCs w:val="18"/>
              </w:rPr>
            </w:pPr>
            <m:oMathPara>
              <m:oMath>
                <m:f>
                  <m:fPr>
                    <m:ctrlPr>
                      <w:rPr>
                        <w:rFonts w:ascii="Cambria Math" w:hAnsi="Cambria Math"/>
                        <w:i/>
                        <w:sz w:val="22"/>
                        <w:szCs w:val="18"/>
                      </w:rPr>
                    </m:ctrlPr>
                  </m:fPr>
                  <m:num>
                    <m:r>
                      <w:rPr>
                        <w:rFonts w:ascii="Cambria Math" w:hAnsi="Cambria Math"/>
                        <w:sz w:val="22"/>
                        <w:szCs w:val="18"/>
                      </w:rPr>
                      <m:t>Working Standard Responsivity</m:t>
                    </m:r>
                  </m:num>
                  <m:den>
                    <m:r>
                      <w:rPr>
                        <w:rFonts w:ascii="Cambria Math" w:hAnsi="Cambria Math"/>
                        <w:sz w:val="22"/>
                        <w:szCs w:val="18"/>
                      </w:rPr>
                      <m:t>Gold Standard Responsivity</m:t>
                    </m:r>
                  </m:den>
                </m:f>
                <m:r>
                  <w:rPr>
                    <w:rFonts w:ascii="Cambria Math" w:hAnsi="Cambria Math"/>
                    <w:sz w:val="22"/>
                    <w:szCs w:val="18"/>
                  </w:rPr>
                  <m:t>=</m:t>
                </m:r>
                <m:rad>
                  <m:radPr>
                    <m:degHide m:val="1"/>
                    <m:ctrlPr>
                      <w:rPr>
                        <w:rFonts w:ascii="Cambria Math" w:hAnsi="Cambria Math"/>
                        <w:i/>
                        <w:sz w:val="22"/>
                        <w:szCs w:val="18"/>
                      </w:rPr>
                    </m:ctrlPr>
                  </m:radPr>
                  <m:deg/>
                  <m:e>
                    <m:f>
                      <m:fPr>
                        <m:ctrlPr>
                          <w:rPr>
                            <w:rFonts w:ascii="Cambria Math" w:hAnsi="Cambria Math"/>
                            <w:i/>
                            <w:sz w:val="22"/>
                            <w:szCs w:val="18"/>
                          </w:rPr>
                        </m:ctrlPr>
                      </m:fPr>
                      <m:num>
                        <m:sSub>
                          <m:sSubPr>
                            <m:ctrlPr>
                              <w:rPr>
                                <w:rFonts w:ascii="Cambria Math" w:hAnsi="Cambria Math"/>
                                <w:i/>
                                <w:sz w:val="22"/>
                                <w:szCs w:val="18"/>
                              </w:rPr>
                            </m:ctrlPr>
                          </m:sSubPr>
                          <m:e>
                            <m:r>
                              <w:rPr>
                                <w:rFonts w:ascii="Cambria Math" w:hAnsi="Cambria Math"/>
                                <w:sz w:val="22"/>
                                <w:szCs w:val="18"/>
                              </w:rPr>
                              <m:t>WS</m:t>
                            </m:r>
                          </m:e>
                          <m:sub>
                            <m:r>
                              <w:rPr>
                                <w:rFonts w:ascii="Cambria Math" w:hAnsi="Cambria Math"/>
                                <w:sz w:val="22"/>
                                <w:szCs w:val="18"/>
                              </w:rPr>
                              <m:t>refl</m:t>
                            </m:r>
                          </m:sub>
                        </m:sSub>
                        <m:r>
                          <w:rPr>
                            <w:rFonts w:ascii="Cambria Math" w:hAnsi="Cambria Math"/>
                            <w:sz w:val="22"/>
                            <w:szCs w:val="18"/>
                          </w:rPr>
                          <m:t>R</m:t>
                        </m:r>
                      </m:num>
                      <m:den>
                        <m:sSub>
                          <m:sSubPr>
                            <m:ctrlPr>
                              <w:rPr>
                                <w:rFonts w:ascii="Cambria Math" w:hAnsi="Cambria Math"/>
                                <w:i/>
                                <w:sz w:val="22"/>
                                <w:szCs w:val="18"/>
                              </w:rPr>
                            </m:ctrlPr>
                          </m:sSubPr>
                          <m:e>
                            <m:r>
                              <w:rPr>
                                <w:rFonts w:ascii="Cambria Math" w:hAnsi="Cambria Math"/>
                                <w:sz w:val="22"/>
                                <w:szCs w:val="18"/>
                              </w:rPr>
                              <m:t>GS</m:t>
                            </m:r>
                          </m:e>
                          <m:sub>
                            <m:r>
                              <w:rPr>
                                <w:rFonts w:ascii="Cambria Math" w:hAnsi="Cambria Math"/>
                                <w:sz w:val="22"/>
                                <w:szCs w:val="18"/>
                              </w:rPr>
                              <m:t>trans</m:t>
                            </m:r>
                          </m:sub>
                        </m:sSub>
                        <m:r>
                          <w:rPr>
                            <w:rFonts w:ascii="Cambria Math" w:hAnsi="Cambria Math"/>
                            <w:sz w:val="22"/>
                            <w:szCs w:val="18"/>
                          </w:rPr>
                          <m:t>T</m:t>
                        </m:r>
                      </m:den>
                    </m:f>
                    <m:f>
                      <m:fPr>
                        <m:ctrlPr>
                          <w:rPr>
                            <w:rFonts w:ascii="Cambria Math" w:hAnsi="Cambria Math"/>
                            <w:i/>
                            <w:sz w:val="22"/>
                            <w:szCs w:val="18"/>
                          </w:rPr>
                        </m:ctrlPr>
                      </m:fPr>
                      <m:num>
                        <m:sSub>
                          <m:sSubPr>
                            <m:ctrlPr>
                              <w:rPr>
                                <w:rFonts w:ascii="Cambria Math" w:hAnsi="Cambria Math"/>
                                <w:i/>
                                <w:sz w:val="22"/>
                                <w:szCs w:val="18"/>
                              </w:rPr>
                            </m:ctrlPr>
                          </m:sSubPr>
                          <m:e>
                            <m:r>
                              <w:rPr>
                                <w:rFonts w:ascii="Cambria Math" w:hAnsi="Cambria Math"/>
                                <w:sz w:val="22"/>
                                <w:szCs w:val="18"/>
                              </w:rPr>
                              <m:t>WS</m:t>
                            </m:r>
                          </m:e>
                          <m:sub>
                            <m:r>
                              <w:rPr>
                                <w:rFonts w:ascii="Cambria Math" w:hAnsi="Cambria Math"/>
                                <w:sz w:val="22"/>
                                <w:szCs w:val="18"/>
                              </w:rPr>
                              <m:t>trans</m:t>
                            </m:r>
                          </m:sub>
                        </m:sSub>
                        <m:r>
                          <w:rPr>
                            <w:rFonts w:ascii="Cambria Math" w:hAnsi="Cambria Math"/>
                            <w:sz w:val="22"/>
                            <w:szCs w:val="18"/>
                          </w:rPr>
                          <m:t>T</m:t>
                        </m:r>
                      </m:num>
                      <m:den>
                        <m:sSub>
                          <m:sSubPr>
                            <m:ctrlPr>
                              <w:rPr>
                                <w:rFonts w:ascii="Cambria Math" w:hAnsi="Cambria Math"/>
                                <w:i/>
                                <w:sz w:val="22"/>
                                <w:szCs w:val="18"/>
                              </w:rPr>
                            </m:ctrlPr>
                          </m:sSubPr>
                          <m:e>
                            <m:r>
                              <w:rPr>
                                <w:rFonts w:ascii="Cambria Math" w:hAnsi="Cambria Math"/>
                                <w:sz w:val="22"/>
                                <w:szCs w:val="18"/>
                              </w:rPr>
                              <m:t>GS</m:t>
                            </m:r>
                          </m:e>
                          <m:sub>
                            <m:r>
                              <w:rPr>
                                <w:rFonts w:ascii="Cambria Math" w:hAnsi="Cambria Math"/>
                                <w:sz w:val="22"/>
                                <w:szCs w:val="18"/>
                              </w:rPr>
                              <m:t>refl</m:t>
                            </m:r>
                          </m:sub>
                        </m:sSub>
                        <m:r>
                          <w:rPr>
                            <w:rFonts w:ascii="Cambria Math" w:hAnsi="Cambria Math"/>
                            <w:sz w:val="22"/>
                            <w:szCs w:val="18"/>
                          </w:rPr>
                          <m:t>R</m:t>
                        </m:r>
                      </m:den>
                    </m:f>
                  </m:e>
                </m:rad>
                <m:r>
                  <w:rPr>
                    <w:rFonts w:ascii="Cambria Math" w:hAnsi="Cambria Math"/>
                    <w:sz w:val="22"/>
                    <w:szCs w:val="18"/>
                  </w:rPr>
                  <m:t>=</m:t>
                </m:r>
                <m:rad>
                  <m:radPr>
                    <m:degHide m:val="1"/>
                    <m:ctrlPr>
                      <w:rPr>
                        <w:rFonts w:ascii="Cambria Math" w:hAnsi="Cambria Math"/>
                        <w:i/>
                        <w:sz w:val="22"/>
                        <w:szCs w:val="18"/>
                      </w:rPr>
                    </m:ctrlPr>
                  </m:radPr>
                  <m:deg/>
                  <m:e>
                    <m:f>
                      <m:fPr>
                        <m:ctrlPr>
                          <w:rPr>
                            <w:rFonts w:ascii="Cambria Math" w:hAnsi="Cambria Math"/>
                            <w:i/>
                            <w:sz w:val="22"/>
                            <w:szCs w:val="18"/>
                          </w:rPr>
                        </m:ctrlPr>
                      </m:fPr>
                      <m:num>
                        <m:sSub>
                          <m:sSubPr>
                            <m:ctrlPr>
                              <w:rPr>
                                <w:rFonts w:ascii="Cambria Math" w:hAnsi="Cambria Math"/>
                                <w:i/>
                                <w:sz w:val="22"/>
                                <w:szCs w:val="18"/>
                              </w:rPr>
                            </m:ctrlPr>
                          </m:sSubPr>
                          <m:e>
                            <m:r>
                              <w:rPr>
                                <w:rFonts w:ascii="Cambria Math" w:hAnsi="Cambria Math"/>
                                <w:sz w:val="22"/>
                                <w:szCs w:val="18"/>
                              </w:rPr>
                              <m:t>WS</m:t>
                            </m:r>
                          </m:e>
                          <m:sub>
                            <m:r>
                              <w:rPr>
                                <w:rFonts w:ascii="Cambria Math" w:hAnsi="Cambria Math"/>
                                <w:sz w:val="22"/>
                                <w:szCs w:val="18"/>
                              </w:rPr>
                              <m:t>refl</m:t>
                            </m:r>
                          </m:sub>
                        </m:sSub>
                        <m:sSub>
                          <m:sSubPr>
                            <m:ctrlPr>
                              <w:rPr>
                                <w:rFonts w:ascii="Cambria Math" w:hAnsi="Cambria Math"/>
                                <w:i/>
                                <w:sz w:val="22"/>
                                <w:szCs w:val="18"/>
                              </w:rPr>
                            </m:ctrlPr>
                          </m:sSubPr>
                          <m:e>
                            <m:r>
                              <w:rPr>
                                <w:rFonts w:ascii="Cambria Math" w:hAnsi="Cambria Math"/>
                                <w:sz w:val="22"/>
                                <w:szCs w:val="18"/>
                              </w:rPr>
                              <m:t>WS</m:t>
                            </m:r>
                          </m:e>
                          <m:sub>
                            <m:r>
                              <w:rPr>
                                <w:rFonts w:ascii="Cambria Math" w:hAnsi="Cambria Math"/>
                                <w:sz w:val="22"/>
                                <w:szCs w:val="18"/>
                              </w:rPr>
                              <m:t>trans</m:t>
                            </m:r>
                          </m:sub>
                        </m:sSub>
                      </m:num>
                      <m:den>
                        <m:sSub>
                          <m:sSubPr>
                            <m:ctrlPr>
                              <w:rPr>
                                <w:rFonts w:ascii="Cambria Math" w:hAnsi="Cambria Math"/>
                                <w:i/>
                                <w:sz w:val="22"/>
                                <w:szCs w:val="18"/>
                              </w:rPr>
                            </m:ctrlPr>
                          </m:sSubPr>
                          <m:e>
                            <m:r>
                              <w:rPr>
                                <w:rFonts w:ascii="Cambria Math" w:hAnsi="Cambria Math"/>
                                <w:sz w:val="22"/>
                                <w:szCs w:val="18"/>
                              </w:rPr>
                              <m:t>GS</m:t>
                            </m:r>
                          </m:e>
                          <m:sub>
                            <m:r>
                              <w:rPr>
                                <w:rFonts w:ascii="Cambria Math" w:hAnsi="Cambria Math"/>
                                <w:sz w:val="22"/>
                                <w:szCs w:val="18"/>
                              </w:rPr>
                              <m:t>trans</m:t>
                            </m:r>
                          </m:sub>
                        </m:sSub>
                        <m:sSub>
                          <m:sSubPr>
                            <m:ctrlPr>
                              <w:rPr>
                                <w:rFonts w:ascii="Cambria Math" w:hAnsi="Cambria Math"/>
                                <w:i/>
                                <w:sz w:val="22"/>
                                <w:szCs w:val="18"/>
                              </w:rPr>
                            </m:ctrlPr>
                          </m:sSubPr>
                          <m:e>
                            <m:r>
                              <w:rPr>
                                <w:rFonts w:ascii="Cambria Math" w:hAnsi="Cambria Math"/>
                                <w:sz w:val="22"/>
                                <w:szCs w:val="18"/>
                              </w:rPr>
                              <m:t>GS</m:t>
                            </m:r>
                          </m:e>
                          <m:sub>
                            <m:r>
                              <w:rPr>
                                <w:rFonts w:ascii="Cambria Math" w:hAnsi="Cambria Math"/>
                                <w:sz w:val="22"/>
                                <w:szCs w:val="18"/>
                              </w:rPr>
                              <m:t>refl</m:t>
                            </m:r>
                          </m:sub>
                        </m:sSub>
                      </m:den>
                    </m:f>
                  </m:e>
                </m:rad>
              </m:oMath>
            </m:oMathPara>
          </w:p>
        </w:tc>
        <w:tc>
          <w:tcPr>
            <w:tcW w:w="250" w:type="pct"/>
            <w:vAlign w:val="center"/>
          </w:tcPr>
          <w:p w14:paraId="30648350" w14:textId="77777777" w:rsidR="006B25AE" w:rsidRPr="00C674A8" w:rsidRDefault="006B25AE" w:rsidP="005449AA">
            <w:pPr>
              <w:jc w:val="left"/>
              <w:rPr>
                <w:sz w:val="22"/>
                <w:szCs w:val="18"/>
              </w:rPr>
            </w:pPr>
            <w:bookmarkStart w:id="182" w:name="_Ref312342597"/>
            <w:r>
              <w:rPr>
                <w:sz w:val="22"/>
                <w:szCs w:val="18"/>
              </w:rPr>
              <w:t>(</w:t>
            </w:r>
            <w:fldSimple w:instr=" SEQ Equation \* ARABIC ">
              <w:r w:rsidR="00E57C6B">
                <w:rPr>
                  <w:noProof/>
                </w:rPr>
                <w:t>7</w:t>
              </w:r>
            </w:fldSimple>
            <w:r w:rsidRPr="00982B56">
              <w:t>)</w:t>
            </w:r>
            <w:bookmarkEnd w:id="182"/>
          </w:p>
        </w:tc>
      </w:tr>
    </w:tbl>
    <w:p w14:paraId="1175A1A5" w14:textId="02200873" w:rsidR="006B25AE" w:rsidRPr="006B25AE" w:rsidRDefault="006B25AE" w:rsidP="005449AA">
      <w:pPr>
        <w:jc w:val="left"/>
      </w:pPr>
      <w:proofErr w:type="gramStart"/>
      <w:r>
        <w:t>where</w:t>
      </w:r>
      <w:proofErr w:type="gramEnd"/>
      <w:r>
        <w:t xml:space="preserve"> the subscripts </w:t>
      </w:r>
      <w:r>
        <w:rPr>
          <w:i/>
        </w:rPr>
        <w:t xml:space="preserve">refl </w:t>
      </w:r>
      <w:r>
        <w:t xml:space="preserve">and </w:t>
      </w:r>
      <w:r w:rsidRPr="00DC375E">
        <w:rPr>
          <w:i/>
        </w:rPr>
        <w:t>trans</w:t>
      </w:r>
      <w:r>
        <w:t xml:space="preserve"> indicate the location of the sensor for a particular measurement and </w:t>
      </w:r>
      <w:r>
        <w:rPr>
          <w:i/>
        </w:rPr>
        <w:t xml:space="preserve">T </w:t>
      </w:r>
      <w:r>
        <w:t xml:space="preserve">and </w:t>
      </w:r>
      <w:r>
        <w:rPr>
          <w:i/>
        </w:rPr>
        <w:t>R</w:t>
      </w:r>
      <w:r>
        <w:t xml:space="preserve"> are the power transmissivity and reflectivity of the beamsplitter, respectively</w:t>
      </w:r>
      <w:r w:rsidR="00077242">
        <w:t xml:space="preserve">. </w:t>
      </w:r>
      <w:r w:rsidR="00077242" w:rsidRPr="00077242">
        <w:rPr>
          <w:i/>
          <w:iCs/>
        </w:rPr>
        <w:t>T</w:t>
      </w:r>
      <w:r w:rsidR="00077242">
        <w:t xml:space="preserve"> and </w:t>
      </w:r>
      <w:r w:rsidR="00077242" w:rsidRPr="00077242">
        <w:rPr>
          <w:i/>
          <w:iCs/>
        </w:rPr>
        <w:t xml:space="preserve">R </w:t>
      </w:r>
      <w:r w:rsidR="00077242">
        <w:t xml:space="preserve">do not need to be measured </w:t>
      </w:r>
      <w:r w:rsidR="00D42215">
        <w:t xml:space="preserve">independently they appear in both the numerator and denominator of </w:t>
      </w:r>
      <w:r w:rsidR="00077242">
        <w:t xml:space="preserve">Equation </w:t>
      </w:r>
      <w:r w:rsidR="00077242">
        <w:fldChar w:fldCharType="begin"/>
      </w:r>
      <w:r w:rsidR="00077242">
        <w:instrText xml:space="preserve"> REF _Ref312342597 \h </w:instrText>
      </w:r>
      <w:r w:rsidR="00077242">
        <w:fldChar w:fldCharType="separate"/>
      </w:r>
      <w:r w:rsidR="00E57C6B">
        <w:rPr>
          <w:sz w:val="22"/>
          <w:szCs w:val="18"/>
        </w:rPr>
        <w:t>(</w:t>
      </w:r>
      <w:r w:rsidR="00E57C6B">
        <w:rPr>
          <w:noProof/>
        </w:rPr>
        <w:t>7</w:t>
      </w:r>
      <w:r w:rsidR="00E57C6B" w:rsidRPr="00982B56">
        <w:t>)</w:t>
      </w:r>
      <w:r w:rsidR="00077242">
        <w:fldChar w:fldCharType="end"/>
      </w:r>
      <w:r w:rsidR="00D42215">
        <w:t xml:space="preserve"> and therefore cancel</w:t>
      </w:r>
      <w:r w:rsidR="00077242">
        <w:t>.</w:t>
      </w:r>
    </w:p>
    <w:p w14:paraId="48968236" w14:textId="7CC89920" w:rsidR="00F53751" w:rsidRDefault="00D42215" w:rsidP="005449AA">
      <w:pPr>
        <w:pStyle w:val="Heading2"/>
        <w:jc w:val="left"/>
      </w:pPr>
      <w:bookmarkStart w:id="183" w:name="_Ref311719107"/>
      <w:bookmarkStart w:id="184" w:name="_Toc321729379"/>
      <w:r>
        <w:lastRenderedPageBreak/>
        <w:t xml:space="preserve">Calibration of Transmitter and </w:t>
      </w:r>
      <w:r w:rsidR="00F53751">
        <w:t xml:space="preserve">Receiver Module </w:t>
      </w:r>
      <w:bookmarkEnd w:id="173"/>
      <w:bookmarkEnd w:id="183"/>
      <w:r>
        <w:t>Power Sensors</w:t>
      </w:r>
      <w:bookmarkEnd w:id="184"/>
    </w:p>
    <w:p w14:paraId="510E28E9" w14:textId="77777777" w:rsidR="00F53751" w:rsidRPr="007D2B4A" w:rsidRDefault="00F53751" w:rsidP="005449AA">
      <w:pPr>
        <w:pStyle w:val="Heading3"/>
        <w:jc w:val="left"/>
      </w:pPr>
      <w:bookmarkStart w:id="185" w:name="_Toc170193803"/>
      <w:bookmarkStart w:id="186" w:name="_Toc321729380"/>
      <w:r>
        <w:t>Frequency of Calibration</w:t>
      </w:r>
      <w:bookmarkEnd w:id="185"/>
      <w:bookmarkEnd w:id="186"/>
    </w:p>
    <w:p w14:paraId="2744490A" w14:textId="5E090719" w:rsidR="00F53751" w:rsidRDefault="00F53751" w:rsidP="005449AA">
      <w:pPr>
        <w:jc w:val="left"/>
      </w:pPr>
      <w:r>
        <w:t xml:space="preserve">Each </w:t>
      </w:r>
      <w:r w:rsidR="00D42215">
        <w:t>power sensor</w:t>
      </w:r>
      <w:r w:rsidR="00077242">
        <w:t xml:space="preserve"> will be </w:t>
      </w:r>
      <w:r>
        <w:t xml:space="preserve">calibrated at least </w:t>
      </w:r>
      <w:r w:rsidR="00D42215">
        <w:t>once every 2 months using the local Working Standard.</w:t>
      </w:r>
      <w:r>
        <w:t xml:space="preserve">  </w:t>
      </w:r>
    </w:p>
    <w:p w14:paraId="42C91F43" w14:textId="77DBE216" w:rsidR="00F53751" w:rsidRDefault="00F53751" w:rsidP="005449AA">
      <w:pPr>
        <w:jc w:val="left"/>
      </w:pPr>
      <w:r>
        <w:t xml:space="preserve">The calibration procedure that was used during eLIGO is detailed in the </w:t>
      </w:r>
      <w:hyperlink r:id="rId93" w:history="1">
        <w:r w:rsidRPr="0012003C">
          <w:rPr>
            <w:rStyle w:val="Hyperlink"/>
            <w:color w:val="auto"/>
            <w:u w:val="none"/>
          </w:rPr>
          <w:t>Photon Calibrator Calibration Procedure</w:t>
        </w:r>
      </w:hyperlink>
      <w:r w:rsidRPr="0012003C">
        <w:rPr>
          <w:rStyle w:val="Hyperlink"/>
          <w:color w:val="auto"/>
          <w:u w:val="none"/>
        </w:rPr>
        <w:t xml:space="preserve"> </w:t>
      </w:r>
      <w:r>
        <w:rPr>
          <w:rStyle w:val="Hyperlink"/>
        </w:rPr>
        <w:t>(</w:t>
      </w:r>
      <w:r w:rsidRPr="0012003C">
        <w:rPr>
          <w:rStyle w:val="Hyperlink"/>
        </w:rPr>
        <w:t>http://www.ligo-wa.caltech.edu/~michael.sakosky/PCALcal.html</w:t>
      </w:r>
      <w:r>
        <w:rPr>
          <w:rStyle w:val="Hyperlink"/>
        </w:rPr>
        <w:t>)</w:t>
      </w:r>
      <w:r w:rsidR="00F01773">
        <w:t xml:space="preserve">. </w:t>
      </w:r>
      <w:r>
        <w:t xml:space="preserve">This procedure compares the response of the Photon Calibrator internal photodetector with the response of the Working Standard at two different DC voltages injected into the excitation channel. </w:t>
      </w:r>
      <w:r w:rsidR="00D42215">
        <w:t>T</w:t>
      </w:r>
      <w:r>
        <w:t>he calibration formula</w:t>
      </w:r>
      <w:r w:rsidR="00420008">
        <w:t>, which is applied to each of the two Pcal outpu</w:t>
      </w:r>
      <w:r w:rsidR="00F17616">
        <w:t>t</w:t>
      </w:r>
      <w:r w:rsidR="00420008">
        <w:t xml:space="preserve"> beams</w:t>
      </w:r>
      <w:proofErr w:type="gramStart"/>
      <w:r w:rsidR="00420008">
        <w:t xml:space="preserve">, </w:t>
      </w:r>
      <w:r>
        <w:t xml:space="preserve"> is</w:t>
      </w:r>
      <w:proofErr w:type="gramEnd"/>
      <w:r>
        <w:t xml:space="preserv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8763"/>
        <w:gridCol w:w="616"/>
      </w:tblGrid>
      <w:tr w:rsidR="00F53751" w14:paraId="2CC5B5AF" w14:textId="77777777" w:rsidTr="00E95D2A">
        <w:tc>
          <w:tcPr>
            <w:tcW w:w="218" w:type="pct"/>
          </w:tcPr>
          <w:p w14:paraId="38C130B3" w14:textId="77777777" w:rsidR="00F53751" w:rsidRDefault="00F53751" w:rsidP="005449AA">
            <w:pPr>
              <w:jc w:val="left"/>
            </w:pPr>
          </w:p>
        </w:tc>
        <w:tc>
          <w:tcPr>
            <w:tcW w:w="4468" w:type="pct"/>
          </w:tcPr>
          <w:p w14:paraId="667607F6" w14:textId="77777777" w:rsidR="00F53751" w:rsidRDefault="00E57C6B" w:rsidP="005449AA">
            <w:pPr>
              <w:jc w:val="left"/>
            </w:pPr>
            <m:oMathPara>
              <m:oMath>
                <m:f>
                  <m:fPr>
                    <m:ctrlPr>
                      <w:rPr>
                        <w:rFonts w:ascii="Cambria Math" w:hAnsi="Cambria Math"/>
                        <w:b/>
                        <w:bCs/>
                        <w:i/>
                      </w:rPr>
                    </m:ctrlPr>
                  </m:fPr>
                  <m:num>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Volts</m:t>
                        </m:r>
                      </m:e>
                      <m:sub>
                        <m:r>
                          <m:rPr>
                            <m:sty m:val="bi"/>
                          </m:rPr>
                          <w:rPr>
                            <w:rFonts w:ascii="Cambria Math" w:hAnsi="Cambria Math"/>
                          </w:rPr>
                          <m:t>WS</m:t>
                        </m:r>
                      </m:sub>
                    </m:sSub>
                  </m:num>
                  <m:den>
                    <m:sSub>
                      <m:sSubPr>
                        <m:ctrlPr>
                          <w:rPr>
                            <w:rFonts w:ascii="Cambria Math" w:hAnsi="Cambria Math"/>
                            <w:b/>
                            <w:bCs/>
                            <w:i/>
                          </w:rPr>
                        </m:ctrlPr>
                      </m:sSubPr>
                      <m:e>
                        <m:r>
                          <m:rPr>
                            <m:sty m:val="bi"/>
                          </m:rPr>
                          <w:rPr>
                            <w:rFonts w:ascii="Cambria Math" w:hAnsi="Cambria Math"/>
                          </w:rPr>
                          <m:t>∆Counts</m:t>
                        </m:r>
                      </m:e>
                      <m:sub>
                        <m:r>
                          <m:rPr>
                            <m:sty m:val="bi"/>
                          </m:rPr>
                          <w:rPr>
                            <w:rFonts w:ascii="Cambria Math" w:hAnsi="Cambria Math"/>
                          </w:rPr>
                          <m:t>PM</m:t>
                        </m:r>
                      </m:sub>
                    </m:sSub>
                  </m:den>
                </m:f>
                <m:r>
                  <w:rPr>
                    <w:rFonts w:ascii="Cambria Math" w:hAnsi="Cambria Math"/>
                  </w:rPr>
                  <m:t>(DC)=</m:t>
                </m:r>
                <m:f>
                  <m:fPr>
                    <m:ctrlPr>
                      <w:rPr>
                        <w:rFonts w:ascii="Cambria Math" w:hAnsi="Cambria Math"/>
                        <w:i/>
                      </w:rPr>
                    </m:ctrlPr>
                  </m:fPr>
                  <m:num>
                    <m:sSub>
                      <m:sSubPr>
                        <m:ctrlPr>
                          <w:rPr>
                            <w:rFonts w:ascii="Cambria Math" w:hAnsi="Cambria Math"/>
                            <w:i/>
                          </w:rPr>
                        </m:ctrlPr>
                      </m:sSubPr>
                      <m:e>
                        <m:r>
                          <w:rPr>
                            <w:rFonts w:ascii="Cambria Math" w:hAnsi="Cambria Math"/>
                          </w:rPr>
                          <m:t>Volts</m:t>
                        </m:r>
                      </m:e>
                      <m:sub>
                        <m:r>
                          <w:rPr>
                            <w:rFonts w:ascii="Cambria Math" w:hAnsi="Cambria Math"/>
                          </w:rPr>
                          <m:t>WS</m:t>
                        </m:r>
                      </m:sub>
                    </m:sSub>
                    <m:d>
                      <m:dPr>
                        <m:ctrlPr>
                          <w:rPr>
                            <w:rFonts w:ascii="Cambria Math" w:hAnsi="Cambria Math"/>
                            <w:i/>
                          </w:rPr>
                        </m:ctrlPr>
                      </m:dPr>
                      <m:e>
                        <m:r>
                          <w:rPr>
                            <w:rFonts w:ascii="Cambria Math" w:hAnsi="Cambria Math"/>
                          </w:rPr>
                          <m:t>1 Volt</m:t>
                        </m:r>
                      </m:e>
                    </m:d>
                    <m:r>
                      <w:rPr>
                        <w:rFonts w:ascii="Cambria Math" w:hAnsi="Cambria Math"/>
                      </w:rPr>
                      <m:t>-</m:t>
                    </m:r>
                    <m:sSub>
                      <m:sSubPr>
                        <m:ctrlPr>
                          <w:rPr>
                            <w:rFonts w:ascii="Cambria Math" w:hAnsi="Cambria Math"/>
                            <w:i/>
                          </w:rPr>
                        </m:ctrlPr>
                      </m:sSubPr>
                      <m:e>
                        <m:r>
                          <w:rPr>
                            <w:rFonts w:ascii="Cambria Math" w:hAnsi="Cambria Math"/>
                          </w:rPr>
                          <m:t>Volts</m:t>
                        </m:r>
                      </m:e>
                      <m:sub>
                        <m:r>
                          <w:rPr>
                            <w:rFonts w:ascii="Cambria Math" w:hAnsi="Cambria Math"/>
                          </w:rPr>
                          <m:t>WS</m:t>
                        </m:r>
                      </m:sub>
                    </m:sSub>
                    <m:r>
                      <w:rPr>
                        <w:rFonts w:ascii="Cambria Math" w:hAnsi="Cambria Math"/>
                      </w:rPr>
                      <m:t>(0 Volts)</m:t>
                    </m:r>
                  </m:num>
                  <m:den>
                    <m:sSub>
                      <m:sSubPr>
                        <m:ctrlPr>
                          <w:rPr>
                            <w:rFonts w:ascii="Cambria Math" w:hAnsi="Cambria Math"/>
                            <w:i/>
                          </w:rPr>
                        </m:ctrlPr>
                      </m:sSubPr>
                      <m:e>
                        <m:r>
                          <w:rPr>
                            <w:rFonts w:ascii="Cambria Math" w:hAnsi="Cambria Math"/>
                          </w:rPr>
                          <m:t>Counts</m:t>
                        </m:r>
                      </m:e>
                      <m:sub>
                        <m:r>
                          <w:rPr>
                            <w:rFonts w:ascii="Cambria Math" w:hAnsi="Cambria Math"/>
                          </w:rPr>
                          <m:t>PM</m:t>
                        </m:r>
                      </m:sub>
                    </m:sSub>
                    <m:d>
                      <m:dPr>
                        <m:ctrlPr>
                          <w:rPr>
                            <w:rFonts w:ascii="Cambria Math" w:hAnsi="Cambria Math"/>
                            <w:i/>
                          </w:rPr>
                        </m:ctrlPr>
                      </m:dPr>
                      <m:e>
                        <m:r>
                          <w:rPr>
                            <w:rFonts w:ascii="Cambria Math" w:hAnsi="Cambria Math"/>
                          </w:rPr>
                          <m:t>1 Volt</m:t>
                        </m:r>
                      </m:e>
                    </m:d>
                    <m:r>
                      <w:rPr>
                        <w:rFonts w:ascii="Cambria Math" w:hAnsi="Cambria Math"/>
                      </w:rPr>
                      <m:t>-</m:t>
                    </m:r>
                    <m:sSub>
                      <m:sSubPr>
                        <m:ctrlPr>
                          <w:rPr>
                            <w:rFonts w:ascii="Cambria Math" w:hAnsi="Cambria Math"/>
                            <w:i/>
                          </w:rPr>
                        </m:ctrlPr>
                      </m:sSubPr>
                      <m:e>
                        <m:r>
                          <w:rPr>
                            <w:rFonts w:ascii="Cambria Math" w:hAnsi="Cambria Math"/>
                          </w:rPr>
                          <m:t>Counts</m:t>
                        </m:r>
                      </m:e>
                      <m:sub>
                        <m:r>
                          <w:rPr>
                            <w:rFonts w:ascii="Cambria Math" w:hAnsi="Cambria Math"/>
                          </w:rPr>
                          <m:t>PM</m:t>
                        </m:r>
                      </m:sub>
                    </m:sSub>
                    <m:r>
                      <w:rPr>
                        <w:rFonts w:ascii="Cambria Math" w:hAnsi="Cambria Math"/>
                      </w:rPr>
                      <m:t>(0 Volts)</m:t>
                    </m:r>
                  </m:den>
                </m:f>
              </m:oMath>
            </m:oMathPara>
          </w:p>
        </w:tc>
        <w:tc>
          <w:tcPr>
            <w:tcW w:w="314" w:type="pct"/>
            <w:vAlign w:val="center"/>
          </w:tcPr>
          <w:p w14:paraId="591C4667" w14:textId="77777777" w:rsidR="00F53751" w:rsidRDefault="00F53751" w:rsidP="005449AA">
            <w:pPr>
              <w:tabs>
                <w:tab w:val="center" w:pos="627"/>
                <w:tab w:val="right" w:pos="1255"/>
              </w:tabs>
              <w:jc w:val="left"/>
            </w:pPr>
            <w:bookmarkStart w:id="187" w:name="_Ref311719261"/>
            <w:r>
              <w:t>(</w:t>
            </w:r>
            <w:fldSimple w:instr=" SEQ Equation \* ARABIC ">
              <w:r w:rsidR="00E57C6B">
                <w:rPr>
                  <w:noProof/>
                </w:rPr>
                <w:t>8</w:t>
              </w:r>
            </w:fldSimple>
            <w:r>
              <w:t>)</w:t>
            </w:r>
            <w:bookmarkEnd w:id="187"/>
            <w:r>
              <w:tab/>
            </w:r>
          </w:p>
        </w:tc>
      </w:tr>
    </w:tbl>
    <w:p w14:paraId="37D7D35D" w14:textId="38864CBA" w:rsidR="00F53751" w:rsidRPr="008E08B3" w:rsidRDefault="00046F00" w:rsidP="005449AA">
      <w:pPr>
        <w:jc w:val="left"/>
        <w:rPr>
          <w:b/>
          <w:bCs/>
        </w:rPr>
      </w:pPr>
      <w:r>
        <w:t xml:space="preserve">Equation </w:t>
      </w:r>
      <w:r>
        <w:fldChar w:fldCharType="begin"/>
      </w:r>
      <w:r>
        <w:instrText xml:space="preserve"> REF _Ref311719261 \h </w:instrText>
      </w:r>
      <w:r>
        <w:fldChar w:fldCharType="separate"/>
      </w:r>
      <w:r w:rsidR="00E57C6B">
        <w:t>(</w:t>
      </w:r>
      <w:r w:rsidR="00E57C6B">
        <w:rPr>
          <w:noProof/>
        </w:rPr>
        <w:t>8</w:t>
      </w:r>
      <w:r w:rsidR="00E57C6B">
        <w:t>)</w:t>
      </w:r>
      <w:r>
        <w:fldChar w:fldCharType="end"/>
      </w:r>
      <w:r w:rsidR="00F53751">
        <w:t xml:space="preserve"> indicates how the reading from the transmitter/receiver internal photodetectors (“</w:t>
      </w:r>
      <m:oMath>
        <m:sSub>
          <m:sSubPr>
            <m:ctrlPr>
              <w:rPr>
                <w:rFonts w:ascii="Cambria Math" w:hAnsi="Cambria Math"/>
                <w:i/>
              </w:rPr>
            </m:ctrlPr>
          </m:sSubPr>
          <m:e>
            <m:r>
              <w:rPr>
                <w:rFonts w:ascii="Cambria Math" w:hAnsi="Cambria Math"/>
              </w:rPr>
              <m:t>Counts</m:t>
            </m:r>
          </m:e>
          <m:sub>
            <m:r>
              <w:rPr>
                <w:rFonts w:ascii="Cambria Math" w:hAnsi="Cambria Math"/>
              </w:rPr>
              <m:t>PM</m:t>
            </m:r>
          </m:sub>
        </m:sSub>
      </m:oMath>
      <w:r w:rsidR="00F53751">
        <w:t>”) and the Working Standard (“</w:t>
      </w:r>
      <m:oMath>
        <m:sSub>
          <m:sSubPr>
            <m:ctrlPr>
              <w:rPr>
                <w:rFonts w:ascii="Cambria Math" w:hAnsi="Cambria Math"/>
                <w:i/>
              </w:rPr>
            </m:ctrlPr>
          </m:sSubPr>
          <m:e>
            <m:r>
              <w:rPr>
                <w:rFonts w:ascii="Cambria Math" w:hAnsi="Cambria Math"/>
              </w:rPr>
              <m:t>Volts</m:t>
            </m:r>
          </m:e>
          <m:sub>
            <m:r>
              <w:rPr>
                <w:rFonts w:ascii="Cambria Math" w:hAnsi="Cambria Math"/>
              </w:rPr>
              <m:t>WS</m:t>
            </m:r>
          </m:sub>
        </m:sSub>
      </m:oMath>
      <w:r w:rsidR="00F53751">
        <w:t xml:space="preserve">”) combine to form a “Box Calibration,” </w:t>
      </w:r>
      <w:r w:rsidR="00F01773">
        <w:t xml:space="preserve">as it was called during eLIGO. </w:t>
      </w:r>
      <w:r w:rsidR="00F53751">
        <w:t>This resul</w:t>
      </w:r>
      <w:r w:rsidR="00F17616">
        <w:t>t can be combined with the Gold Standard</w:t>
      </w:r>
      <w:r w:rsidR="00F53751">
        <w:t xml:space="preserve"> and Working </w:t>
      </w:r>
      <w:r w:rsidR="00F01773">
        <w:t xml:space="preserve">Standard </w:t>
      </w:r>
      <w:r w:rsidR="00F53751">
        <w:t xml:space="preserve">Calibrations </w:t>
      </w:r>
      <w:r w:rsidR="00420008">
        <w:t>to give the Pcal transmitter module</w:t>
      </w:r>
      <w:r w:rsidR="00F53751">
        <w:t xml:space="preserve"> output power in watts: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8763"/>
        <w:gridCol w:w="616"/>
      </w:tblGrid>
      <w:tr w:rsidR="00F53751" w14:paraId="637677F1" w14:textId="77777777" w:rsidTr="00E95D2A">
        <w:trPr>
          <w:jc w:val="center"/>
        </w:trPr>
        <w:tc>
          <w:tcPr>
            <w:tcW w:w="218" w:type="pct"/>
            <w:vAlign w:val="center"/>
          </w:tcPr>
          <w:p w14:paraId="6DD479FD" w14:textId="77777777" w:rsidR="00F53751" w:rsidRDefault="00F53751" w:rsidP="005449AA">
            <w:pPr>
              <w:jc w:val="left"/>
            </w:pPr>
          </w:p>
        </w:tc>
        <w:tc>
          <w:tcPr>
            <w:tcW w:w="4468" w:type="pct"/>
          </w:tcPr>
          <w:p w14:paraId="0B58CBA2" w14:textId="3AF93779" w:rsidR="00F53751" w:rsidRDefault="00537942" w:rsidP="005449AA">
            <w:pPr>
              <w:jc w:val="left"/>
            </w:pPr>
            <m:oMathPara>
              <m:oMath>
                <m:r>
                  <m:rPr>
                    <m:sty m:val="bi"/>
                  </m:rPr>
                  <w:rPr>
                    <w:rFonts w:ascii="Cambria Math" w:hAnsi="Cambria Math"/>
                    <w:sz w:val="28"/>
                    <w:szCs w:val="22"/>
                  </w:rPr>
                  <m:t>∆</m:t>
                </m:r>
                <m:sSub>
                  <m:sSubPr>
                    <m:ctrlPr>
                      <w:rPr>
                        <w:rFonts w:ascii="Cambria Math" w:hAnsi="Cambria Math"/>
                        <w:b/>
                        <w:bCs/>
                        <w:i/>
                        <w:sz w:val="28"/>
                        <w:szCs w:val="22"/>
                      </w:rPr>
                    </m:ctrlPr>
                  </m:sSubPr>
                  <m:e>
                    <m:r>
                      <m:rPr>
                        <m:sty m:val="bi"/>
                      </m:rPr>
                      <w:rPr>
                        <w:rFonts w:ascii="Cambria Math" w:hAnsi="Cambria Math"/>
                        <w:sz w:val="28"/>
                        <w:szCs w:val="22"/>
                      </w:rPr>
                      <m:t>p</m:t>
                    </m:r>
                  </m:e>
                  <m:sub>
                    <m:r>
                      <m:rPr>
                        <m:sty m:val="bi"/>
                      </m:rPr>
                      <w:rPr>
                        <w:rFonts w:ascii="Cambria Math" w:hAnsi="Cambria Math"/>
                        <w:sz w:val="28"/>
                        <w:szCs w:val="22"/>
                      </w:rPr>
                      <m:t>Watts</m:t>
                    </m:r>
                  </m:sub>
                </m:sSub>
                <m:r>
                  <m:rPr>
                    <m:sty m:val="bi"/>
                  </m:rPr>
                  <w:rPr>
                    <w:rFonts w:ascii="Cambria Math" w:hAnsi="Cambria Math"/>
                    <w:sz w:val="28"/>
                    <w:szCs w:val="22"/>
                  </w:rPr>
                  <m:t>=</m:t>
                </m:r>
                <m:sSub>
                  <m:sSubPr>
                    <m:ctrlPr>
                      <w:rPr>
                        <w:rFonts w:ascii="Cambria Math" w:hAnsi="Cambria Math"/>
                        <w:b/>
                        <w:bCs/>
                        <w:i/>
                        <w:sz w:val="28"/>
                        <w:szCs w:val="22"/>
                      </w:rPr>
                    </m:ctrlPr>
                  </m:sSubPr>
                  <m:e>
                    <m:r>
                      <m:rPr>
                        <m:sty m:val="bi"/>
                      </m:rPr>
                      <w:rPr>
                        <w:rFonts w:ascii="Cambria Math" w:hAnsi="Cambria Math"/>
                        <w:sz w:val="28"/>
                        <w:szCs w:val="22"/>
                      </w:rPr>
                      <m:t>∆Counts</m:t>
                    </m:r>
                  </m:e>
                  <m:sub>
                    <m:r>
                      <m:rPr>
                        <m:sty m:val="bi"/>
                      </m:rPr>
                      <w:rPr>
                        <w:rFonts w:ascii="Cambria Math" w:hAnsi="Cambria Math"/>
                        <w:sz w:val="28"/>
                        <w:szCs w:val="22"/>
                      </w:rPr>
                      <m:t>PM</m:t>
                    </m:r>
                  </m:sub>
                </m:sSub>
                <m:f>
                  <m:fPr>
                    <m:ctrlPr>
                      <w:rPr>
                        <w:rFonts w:ascii="Cambria Math" w:hAnsi="Cambria Math"/>
                        <w:b/>
                        <w:bCs/>
                        <w:i/>
                        <w:sz w:val="28"/>
                        <w:szCs w:val="22"/>
                      </w:rPr>
                    </m:ctrlPr>
                  </m:fPr>
                  <m:num>
                    <m:r>
                      <m:rPr>
                        <m:sty m:val="bi"/>
                      </m:rPr>
                      <w:rPr>
                        <w:rFonts w:ascii="Cambria Math" w:hAnsi="Cambria Math"/>
                        <w:sz w:val="28"/>
                        <w:szCs w:val="22"/>
                      </w:rPr>
                      <m:t>∆</m:t>
                    </m:r>
                    <m:sSub>
                      <m:sSubPr>
                        <m:ctrlPr>
                          <w:rPr>
                            <w:rFonts w:ascii="Cambria Math" w:hAnsi="Cambria Math"/>
                            <w:b/>
                            <w:bCs/>
                            <w:i/>
                            <w:sz w:val="28"/>
                            <w:szCs w:val="22"/>
                          </w:rPr>
                        </m:ctrlPr>
                      </m:sSubPr>
                      <m:e>
                        <m:r>
                          <m:rPr>
                            <m:sty m:val="bi"/>
                          </m:rPr>
                          <w:rPr>
                            <w:rFonts w:ascii="Cambria Math" w:hAnsi="Cambria Math"/>
                            <w:sz w:val="28"/>
                            <w:szCs w:val="22"/>
                          </w:rPr>
                          <m:t>Volts</m:t>
                        </m:r>
                      </m:e>
                      <m:sub>
                        <m:r>
                          <m:rPr>
                            <m:sty m:val="bi"/>
                          </m:rPr>
                          <w:rPr>
                            <w:rFonts w:ascii="Cambria Math" w:hAnsi="Cambria Math"/>
                            <w:sz w:val="28"/>
                            <w:szCs w:val="22"/>
                          </w:rPr>
                          <m:t>WS</m:t>
                        </m:r>
                      </m:sub>
                    </m:sSub>
                  </m:num>
                  <m:den>
                    <m:sSub>
                      <m:sSubPr>
                        <m:ctrlPr>
                          <w:rPr>
                            <w:rFonts w:ascii="Cambria Math" w:hAnsi="Cambria Math"/>
                            <w:b/>
                            <w:bCs/>
                            <w:i/>
                            <w:sz w:val="28"/>
                            <w:szCs w:val="22"/>
                          </w:rPr>
                        </m:ctrlPr>
                      </m:sSubPr>
                      <m:e>
                        <m:r>
                          <m:rPr>
                            <m:sty m:val="bi"/>
                          </m:rPr>
                          <w:rPr>
                            <w:rFonts w:ascii="Cambria Math" w:hAnsi="Cambria Math"/>
                            <w:sz w:val="28"/>
                            <w:szCs w:val="22"/>
                          </w:rPr>
                          <m:t>∆Counts</m:t>
                        </m:r>
                      </m:e>
                      <m:sub>
                        <m:r>
                          <m:rPr>
                            <m:sty m:val="bi"/>
                          </m:rPr>
                          <w:rPr>
                            <w:rFonts w:ascii="Cambria Math" w:hAnsi="Cambria Math"/>
                            <w:sz w:val="28"/>
                            <w:szCs w:val="22"/>
                          </w:rPr>
                          <m:t>PM</m:t>
                        </m:r>
                      </m:sub>
                    </m:sSub>
                  </m:den>
                </m:f>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Volts</m:t>
                        </m:r>
                      </m:e>
                      <m:sub>
                        <m:r>
                          <w:rPr>
                            <w:rFonts w:ascii="Cambria Math" w:hAnsi="Cambria Math"/>
                            <w:sz w:val="28"/>
                            <w:szCs w:val="22"/>
                          </w:rPr>
                          <m:t>GS</m:t>
                        </m:r>
                      </m:sub>
                    </m:sSub>
                  </m:num>
                  <m:den>
                    <m:sSub>
                      <m:sSubPr>
                        <m:ctrlPr>
                          <w:rPr>
                            <w:rFonts w:ascii="Cambria Math" w:hAnsi="Cambria Math"/>
                            <w:i/>
                            <w:sz w:val="28"/>
                            <w:szCs w:val="22"/>
                          </w:rPr>
                        </m:ctrlPr>
                      </m:sSubPr>
                      <m:e>
                        <m:r>
                          <w:rPr>
                            <w:rFonts w:ascii="Cambria Math" w:hAnsi="Cambria Math"/>
                            <w:sz w:val="28"/>
                            <w:szCs w:val="22"/>
                          </w:rPr>
                          <m:t>V</m:t>
                        </m:r>
                        <m:r>
                          <w:rPr>
                            <w:rFonts w:ascii="Cambria Math" w:hAnsi="Cambria Math"/>
                            <w:sz w:val="28"/>
                            <w:szCs w:val="22"/>
                          </w:rPr>
                          <m:t>olts</m:t>
                        </m:r>
                      </m:e>
                      <m:sub>
                        <m:r>
                          <w:rPr>
                            <w:rFonts w:ascii="Cambria Math" w:hAnsi="Cambria Math"/>
                            <w:sz w:val="28"/>
                            <w:szCs w:val="22"/>
                          </w:rPr>
                          <m:t>WS</m:t>
                        </m:r>
                      </m:sub>
                    </m:sSub>
                  </m:den>
                </m:f>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Watts</m:t>
                        </m:r>
                      </m:e>
                      <m:sub>
                        <m:r>
                          <w:rPr>
                            <w:rFonts w:ascii="Cambria Math" w:hAnsi="Cambria Math"/>
                            <w:sz w:val="28"/>
                            <w:szCs w:val="22"/>
                          </w:rPr>
                          <m:t>NIST</m:t>
                        </m:r>
                      </m:sub>
                    </m:sSub>
                  </m:num>
                  <m:den>
                    <m:sSub>
                      <m:sSubPr>
                        <m:ctrlPr>
                          <w:rPr>
                            <w:rFonts w:ascii="Cambria Math" w:hAnsi="Cambria Math"/>
                            <w:i/>
                            <w:sz w:val="28"/>
                            <w:szCs w:val="22"/>
                          </w:rPr>
                        </m:ctrlPr>
                      </m:sSubPr>
                      <m:e>
                        <m:r>
                          <w:rPr>
                            <w:rFonts w:ascii="Cambria Math" w:hAnsi="Cambria Math"/>
                            <w:sz w:val="28"/>
                            <w:szCs w:val="22"/>
                          </w:rPr>
                          <m:t>Volts</m:t>
                        </m:r>
                      </m:e>
                      <m:sub>
                        <m:r>
                          <w:rPr>
                            <w:rFonts w:ascii="Cambria Math" w:hAnsi="Cambria Math"/>
                            <w:sz w:val="28"/>
                            <w:szCs w:val="22"/>
                          </w:rPr>
                          <m:t>GS</m:t>
                        </m:r>
                      </m:sub>
                    </m:sSub>
                  </m:den>
                </m:f>
              </m:oMath>
            </m:oMathPara>
          </w:p>
        </w:tc>
        <w:tc>
          <w:tcPr>
            <w:tcW w:w="314" w:type="pct"/>
            <w:vAlign w:val="center"/>
          </w:tcPr>
          <w:p w14:paraId="6888CEE8" w14:textId="77777777" w:rsidR="00F53751" w:rsidRDefault="00F53751" w:rsidP="005449AA">
            <w:pPr>
              <w:tabs>
                <w:tab w:val="center" w:pos="627"/>
                <w:tab w:val="right" w:pos="1255"/>
              </w:tabs>
              <w:jc w:val="left"/>
            </w:pPr>
            <w:bookmarkStart w:id="188" w:name="_Ref311710919"/>
            <w:r>
              <w:t>(</w:t>
            </w:r>
            <w:fldSimple w:instr=" SEQ Equation \* ARABIC ">
              <w:r w:rsidR="00E57C6B">
                <w:rPr>
                  <w:noProof/>
                </w:rPr>
                <w:t>9</w:t>
              </w:r>
            </w:fldSimple>
            <w:r>
              <w:t>)</w:t>
            </w:r>
            <w:bookmarkEnd w:id="188"/>
            <w:r>
              <w:tab/>
            </w:r>
          </w:p>
        </w:tc>
      </w:tr>
    </w:tbl>
    <w:p w14:paraId="444DC985" w14:textId="4402AE54" w:rsidR="00F53751" w:rsidRPr="00F53751" w:rsidRDefault="00420008" w:rsidP="005449AA">
      <w:pPr>
        <w:jc w:val="left"/>
        <w:rPr>
          <w:szCs w:val="24"/>
        </w:rPr>
      </w:pPr>
      <w:r>
        <w:rPr>
          <w:szCs w:val="24"/>
        </w:rPr>
        <w:t>The power sensor calibration in</w:t>
      </w:r>
      <w:r w:rsidR="00F53751">
        <w:rPr>
          <w:szCs w:val="24"/>
        </w:rPr>
        <w:t xml:space="preserve"> Equation </w:t>
      </w:r>
      <w:r w:rsidR="00F53751">
        <w:rPr>
          <w:szCs w:val="24"/>
        </w:rPr>
        <w:fldChar w:fldCharType="begin"/>
      </w:r>
      <w:r w:rsidR="00F53751">
        <w:rPr>
          <w:szCs w:val="24"/>
        </w:rPr>
        <w:instrText xml:space="preserve"> REF _Ref311710919 \h </w:instrText>
      </w:r>
      <w:r w:rsidR="00F53751">
        <w:rPr>
          <w:szCs w:val="24"/>
        </w:rPr>
      </w:r>
      <w:r w:rsidR="00F53751">
        <w:rPr>
          <w:szCs w:val="24"/>
        </w:rPr>
        <w:fldChar w:fldCharType="separate"/>
      </w:r>
      <w:r w:rsidR="00E57C6B">
        <w:t>(</w:t>
      </w:r>
      <w:r w:rsidR="00E57C6B">
        <w:rPr>
          <w:noProof/>
        </w:rPr>
        <w:t>9</w:t>
      </w:r>
      <w:r w:rsidR="00E57C6B">
        <w:t>)</w:t>
      </w:r>
      <w:r w:rsidR="00F53751">
        <w:rPr>
          <w:szCs w:val="24"/>
        </w:rPr>
        <w:fldChar w:fldCharType="end"/>
      </w:r>
      <w:r w:rsidR="00F53751" w:rsidRPr="00743098">
        <w:rPr>
          <w:szCs w:val="24"/>
        </w:rPr>
        <w:t xml:space="preserve"> </w:t>
      </w:r>
      <w:r w:rsidR="00D42215">
        <w:rPr>
          <w:szCs w:val="24"/>
        </w:rPr>
        <w:t>together with the transmissivity of the Pcal input window and reflect</w:t>
      </w:r>
      <w:r>
        <w:rPr>
          <w:szCs w:val="24"/>
        </w:rPr>
        <w:t xml:space="preserve">ivity of the ETM coating is used to convert the internal power sensor signal </w:t>
      </w:r>
      <w:proofErr w:type="gramStart"/>
      <w:r>
        <w:rPr>
          <w:szCs w:val="24"/>
        </w:rPr>
        <w:t>to</w:t>
      </w:r>
      <w:r w:rsidR="00967C8A">
        <w:rPr>
          <w:szCs w:val="24"/>
        </w:rPr>
        <w:t xml:space="preserve"> </w:t>
      </w:r>
      <w:proofErr w:type="gramEnd"/>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m:t>
            </m:r>
          </m:sub>
        </m:sSub>
      </m:oMath>
      <w:r w:rsidR="00F53751">
        <w:rPr>
          <w:szCs w:val="24"/>
        </w:rPr>
        <w:t xml:space="preserve">, </w:t>
      </w:r>
      <w:r>
        <w:rPr>
          <w:szCs w:val="24"/>
        </w:rPr>
        <w:t xml:space="preserve">the amplitude of the modulated </w:t>
      </w:r>
      <w:r w:rsidR="00F53751">
        <w:rPr>
          <w:szCs w:val="24"/>
        </w:rPr>
        <w:t>laser power</w:t>
      </w:r>
      <w:r>
        <w:rPr>
          <w:szCs w:val="24"/>
        </w:rPr>
        <w:t xml:space="preserve"> Equation (1)</w:t>
      </w:r>
      <w:r w:rsidR="00F53751">
        <w:rPr>
          <w:szCs w:val="24"/>
        </w:rPr>
        <w:t xml:space="preserve">. </w:t>
      </w:r>
    </w:p>
    <w:p w14:paraId="0B339E9C" w14:textId="7C7ADA84" w:rsidR="009053CF" w:rsidRDefault="00557B0C" w:rsidP="005449AA">
      <w:pPr>
        <w:pStyle w:val="Heading1"/>
        <w:jc w:val="left"/>
      </w:pPr>
      <w:bookmarkStart w:id="189" w:name="_Toc170193810"/>
      <w:bookmarkStart w:id="190" w:name="_Ref311528779"/>
      <w:bookmarkStart w:id="191" w:name="_Toc321729381"/>
      <w:bookmarkEnd w:id="146"/>
      <w:r>
        <w:t>Failure Modes and Hazards</w:t>
      </w:r>
      <w:bookmarkEnd w:id="189"/>
      <w:bookmarkEnd w:id="190"/>
      <w:bookmarkEnd w:id="191"/>
    </w:p>
    <w:p w14:paraId="56587AF9" w14:textId="77777777" w:rsidR="002B4925" w:rsidRDefault="002C2378" w:rsidP="005449AA">
      <w:pPr>
        <w:pStyle w:val="Heading2"/>
        <w:jc w:val="left"/>
      </w:pPr>
      <w:bookmarkStart w:id="192" w:name="_Toc170193814"/>
      <w:bookmarkStart w:id="193" w:name="_Toc321729382"/>
      <w:r>
        <w:t xml:space="preserve">Internal </w:t>
      </w:r>
      <w:r w:rsidR="002B4925">
        <w:t>Photodetector Fails</w:t>
      </w:r>
      <w:bookmarkEnd w:id="192"/>
      <w:bookmarkEnd w:id="193"/>
    </w:p>
    <w:p w14:paraId="21F7EECD" w14:textId="66F194E2" w:rsidR="00F17616" w:rsidRDefault="0038220B" w:rsidP="005449AA">
      <w:pPr>
        <w:jc w:val="left"/>
      </w:pPr>
      <w:r>
        <w:t>This occurred</w:t>
      </w:r>
      <w:r w:rsidR="00F17616">
        <w:t xml:space="preserve"> during</w:t>
      </w:r>
      <w:r w:rsidR="00E2516A">
        <w:t xml:space="preserve"> S6 </w:t>
      </w:r>
      <w:r w:rsidR="00F17616">
        <w:t>in the Pcal transmitter module for ETMX on the L1 interferometer</w:t>
      </w:r>
      <w:r w:rsidR="00E2516A">
        <w:t>.</w:t>
      </w:r>
      <w:r w:rsidR="00250291">
        <w:t xml:space="preserve"> </w:t>
      </w:r>
      <w:r w:rsidR="00F17616">
        <w:t>The trend of the voice coil actuator calibration revealed the step in the calculated actuation coefficient when the receiver failed.  For aLIGO, there will be two power sensors per Pcal system, one in the transmitter module and one in the receiver module.  Continuous monitoring of the ratio of the signals from the two sensors will reveal a failure if one should occur.  Calibration using the working standard will reveal which sensor changed it responsivity.</w:t>
      </w:r>
      <w:r w:rsidR="00690855">
        <w:t xml:space="preserve">  Continuity of the interferometer calibration can be maintained by referring to the sensor that did not suffer the failure.</w:t>
      </w:r>
    </w:p>
    <w:p w14:paraId="685E92C7" w14:textId="77777777" w:rsidR="006F25A0" w:rsidRDefault="006B373B" w:rsidP="005449AA">
      <w:pPr>
        <w:pStyle w:val="Heading2"/>
        <w:jc w:val="left"/>
      </w:pPr>
      <w:bookmarkStart w:id="194" w:name="_Toc170193815"/>
      <w:bookmarkStart w:id="195" w:name="_Toc321729383"/>
      <w:r>
        <w:t xml:space="preserve">Gold Standard or Working Standard </w:t>
      </w:r>
      <w:r w:rsidR="00D117C8">
        <w:t>Fails</w:t>
      </w:r>
      <w:bookmarkEnd w:id="194"/>
      <w:bookmarkEnd w:id="195"/>
    </w:p>
    <w:p w14:paraId="0F31D229" w14:textId="75E07865" w:rsidR="006F25A0" w:rsidRDefault="00F149B6" w:rsidP="005449AA">
      <w:pPr>
        <w:jc w:val="left"/>
      </w:pPr>
      <w:r>
        <w:t xml:space="preserve">If </w:t>
      </w:r>
      <w:r w:rsidR="0038220B">
        <w:t>this</w:t>
      </w:r>
      <w:r>
        <w:t xml:space="preserve"> </w:t>
      </w:r>
      <w:r w:rsidR="00690855">
        <w:t>were to occur, one of the other standards could take the place of the failed standard and the continuity of the NIST calibration could be maintained by referring to the standards that did not suffer the failure.  Note that for aLIGO we plan to have three calibration standards, the Gold Standard and one Working Standard at each observatory.</w:t>
      </w:r>
      <w:r>
        <w:t xml:space="preserve"> </w:t>
      </w:r>
      <w:r w:rsidR="00690855">
        <w:t>Periodic cross-calibration of the standards and yearly calibration of the Gold Standard at NIST ensures the ability to identify a calibration standard failure.</w:t>
      </w:r>
    </w:p>
    <w:p w14:paraId="055817A9" w14:textId="77777777" w:rsidR="00C21E10" w:rsidRDefault="00C21E10" w:rsidP="005449AA">
      <w:pPr>
        <w:pStyle w:val="Heading2"/>
        <w:jc w:val="left"/>
      </w:pPr>
      <w:bookmarkStart w:id="196" w:name="_Toc170193816"/>
      <w:bookmarkStart w:id="197" w:name="_Toc321729384"/>
      <w:r>
        <w:lastRenderedPageBreak/>
        <w:t>Laser Fails</w:t>
      </w:r>
      <w:bookmarkEnd w:id="196"/>
      <w:bookmarkEnd w:id="197"/>
    </w:p>
    <w:p w14:paraId="1F905AAE" w14:textId="3AA29156" w:rsidR="005429CD" w:rsidRDefault="005429CD" w:rsidP="005449AA">
      <w:pPr>
        <w:jc w:val="left"/>
      </w:pPr>
      <w:r>
        <w:t xml:space="preserve">If a laser or entire Photon Calibrator system would fail, the </w:t>
      </w:r>
      <w:r w:rsidR="009554A9">
        <w:t xml:space="preserve">interferometer </w:t>
      </w:r>
      <w:r>
        <w:t>calibration wo</w:t>
      </w:r>
      <w:r w:rsidR="009554A9">
        <w:t xml:space="preserve">uld still be maintained </w:t>
      </w:r>
      <w:r>
        <w:t xml:space="preserve">from the </w:t>
      </w:r>
      <w:r w:rsidR="009554A9">
        <w:t xml:space="preserve">Photon Calibrator of the </w:t>
      </w:r>
      <w:r>
        <w:t>opposite arm</w:t>
      </w:r>
      <w:r w:rsidR="00D86867">
        <w:t xml:space="preserve"> of the interferometer</w:t>
      </w:r>
      <w:r w:rsidR="00E2516A">
        <w:t>.</w:t>
      </w:r>
      <w:r>
        <w:t xml:space="preserve"> If the finesses of each arm are approximately equal, </w:t>
      </w:r>
      <w:r w:rsidR="007D0BF6">
        <w:t xml:space="preserve">as they were </w:t>
      </w:r>
      <w:r w:rsidR="00B023CD">
        <w:t>during</w:t>
      </w:r>
      <w:r w:rsidR="007D0BF6">
        <w:t xml:space="preserve"> eLIGO, </w:t>
      </w:r>
      <w:r>
        <w:t>the interferometer cannot differentiate be</w:t>
      </w:r>
      <w:r w:rsidR="007D0BF6">
        <w:t xml:space="preserve">tween actuation from either arm, so this </w:t>
      </w:r>
      <w:r w:rsidR="00D86867">
        <w:t xml:space="preserve">failure </w:t>
      </w:r>
      <w:r w:rsidR="007D0BF6">
        <w:t>would not be a critical concern.</w:t>
      </w:r>
      <w:r w:rsidR="000638F0">
        <w:t xml:space="preserve"> </w:t>
      </w:r>
      <w:r>
        <w:t xml:space="preserve">The </w:t>
      </w:r>
      <w:r w:rsidR="000638F0">
        <w:t>only</w:t>
      </w:r>
      <w:r>
        <w:t xml:space="preserve"> concern of this </w:t>
      </w:r>
      <w:r w:rsidR="009554A9">
        <w:t>failure would</w:t>
      </w:r>
      <w:r>
        <w:t xml:space="preserve"> be less power available for calibration, thus lowering the SNR </w:t>
      </w:r>
      <w:r w:rsidR="009554A9">
        <w:t xml:space="preserve">of calibration lines </w:t>
      </w:r>
      <w:r>
        <w:t>and precision of the calibration.</w:t>
      </w:r>
    </w:p>
    <w:p w14:paraId="13A70B35" w14:textId="77777777" w:rsidR="00437715" w:rsidRDefault="00437715" w:rsidP="005449AA">
      <w:pPr>
        <w:pStyle w:val="Heading2"/>
        <w:jc w:val="left"/>
      </w:pPr>
      <w:bookmarkStart w:id="198" w:name="_Toc170193819"/>
      <w:bookmarkStart w:id="199" w:name="_Toc321729385"/>
      <w:r>
        <w:t>Misalignment of Receiver</w:t>
      </w:r>
      <w:r w:rsidR="00041058">
        <w:t>-Side</w:t>
      </w:r>
      <w:r>
        <w:t xml:space="preserve"> Periscope</w:t>
      </w:r>
      <w:bookmarkEnd w:id="198"/>
      <w:bookmarkEnd w:id="199"/>
    </w:p>
    <w:p w14:paraId="0A65A754" w14:textId="3E598E5F" w:rsidR="00437715" w:rsidRDefault="00586CCC" w:rsidP="005449AA">
      <w:pPr>
        <w:jc w:val="left"/>
      </w:pPr>
      <w:r>
        <w:t xml:space="preserve">If the receiver-side in-vacuum periscope would be misaligned and the beam no longer cleanly passes out the receiver viewport window, then that receiver system would no longer be operable until the next in-vacuum entry.  In this case, </w:t>
      </w:r>
      <w:r w:rsidR="000855C5">
        <w:t xml:space="preserve">we would rely on the transmitter side </w:t>
      </w:r>
      <w:r w:rsidR="00690855">
        <w:t xml:space="preserve">power sensor </w:t>
      </w:r>
      <w:r w:rsidR="000855C5">
        <w:t xml:space="preserve">and other arm’s </w:t>
      </w:r>
      <w:r w:rsidR="00690855">
        <w:t>Pcal system</w:t>
      </w:r>
      <w:r w:rsidR="000855C5">
        <w:t xml:space="preserve"> for the calibration.</w:t>
      </w:r>
      <w:r w:rsidR="00D86867">
        <w:t xml:space="preserve">  Additionally, because the wavelength of the </w:t>
      </w:r>
      <w:r w:rsidR="00690855">
        <w:t>Pcal</w:t>
      </w:r>
      <w:r w:rsidR="00D86867">
        <w:t xml:space="preserve"> laser is at least</w:t>
      </w:r>
      <w:r w:rsidR="00E2516A">
        <w:t xml:space="preserve"> 0.3</w:t>
      </w:r>
      <w:r w:rsidR="00D86867">
        <w:t xml:space="preserve"> nm away from the wavelength of the main interferometer laser, </w:t>
      </w:r>
      <w:r w:rsidR="00690855">
        <w:t xml:space="preserve">Pcal </w:t>
      </w:r>
      <w:r w:rsidR="00D86867">
        <w:t>stray light introducing noise into the interferometer signal</w:t>
      </w:r>
      <w:r w:rsidR="00690855">
        <w:t>s should not be an issue</w:t>
      </w:r>
      <w:r w:rsidR="00D86867">
        <w:t>.</w:t>
      </w:r>
    </w:p>
    <w:p w14:paraId="78D10865" w14:textId="77777777" w:rsidR="00BE57BC" w:rsidRDefault="00BE57BC" w:rsidP="005449AA">
      <w:pPr>
        <w:pStyle w:val="Heading2"/>
        <w:jc w:val="left"/>
      </w:pPr>
      <w:bookmarkStart w:id="200" w:name="_Toc170193820"/>
      <w:bookmarkStart w:id="201" w:name="_Toc321729386"/>
      <w:r>
        <w:t>Misalignment of Transmitter-Side Periscope</w:t>
      </w:r>
      <w:bookmarkEnd w:id="200"/>
      <w:bookmarkEnd w:id="201"/>
    </w:p>
    <w:p w14:paraId="47F5022D" w14:textId="595571F0" w:rsidR="00690855" w:rsidRDefault="00AB4533" w:rsidP="005449AA">
      <w:pPr>
        <w:jc w:val="left"/>
      </w:pPr>
      <w:r>
        <w:t>If the transmitter-side periscope were to drift so that the beam spot would drift from its optimal pos</w:t>
      </w:r>
      <w:r w:rsidR="00104327">
        <w:t xml:space="preserve">ition </w:t>
      </w:r>
      <w:r w:rsidR="00794D64">
        <w:t xml:space="preserve">on the ETM </w:t>
      </w:r>
      <w:r w:rsidR="00104327">
        <w:t>by several millimeters or clip</w:t>
      </w:r>
      <w:r w:rsidR="00794D64">
        <w:t xml:space="preserve"> on another in-vacuum component, that </w:t>
      </w:r>
      <w:r w:rsidR="00690855">
        <w:t>Pcal</w:t>
      </w:r>
      <w:r w:rsidR="00794D64">
        <w:t xml:space="preserve"> system would be </w:t>
      </w:r>
      <w:r w:rsidR="00690855">
        <w:t>compromised.  However, continuous monitoring of the beam positions on the ETM surface, each time the interferometer loses lock, for instance, would reveal changes in the input beam alignment.  The alignment could be corrected by the steering mirrors located outside the vacuum envelope.</w:t>
      </w:r>
    </w:p>
    <w:p w14:paraId="11BF9A85" w14:textId="77777777" w:rsidR="00C83E8B" w:rsidRDefault="00C83E8B" w:rsidP="005449AA">
      <w:pPr>
        <w:pStyle w:val="Heading2"/>
        <w:jc w:val="left"/>
      </w:pPr>
      <w:bookmarkStart w:id="202" w:name="_Toc170193824"/>
      <w:bookmarkStart w:id="203" w:name="_Toc321729387"/>
      <w:r>
        <w:t>Damage to Viewport Glas</w:t>
      </w:r>
      <w:r w:rsidR="00B812D8">
        <w:t>s</w:t>
      </w:r>
      <w:bookmarkEnd w:id="202"/>
      <w:bookmarkEnd w:id="203"/>
    </w:p>
    <w:p w14:paraId="7E978D7F" w14:textId="70C82141" w:rsidR="00C83E8B" w:rsidRPr="00C87545" w:rsidRDefault="00F5620D" w:rsidP="005449AA">
      <w:pPr>
        <w:jc w:val="left"/>
      </w:pPr>
      <w:r>
        <w:t xml:space="preserve">Viewport protectors will </w:t>
      </w:r>
      <w:r w:rsidR="000041ED">
        <w:t>preclude</w:t>
      </w:r>
      <w:r>
        <w:t xml:space="preserve"> physical access to t</w:t>
      </w:r>
      <w:r w:rsidR="000041ED">
        <w:t>he viewport glass during</w:t>
      </w:r>
      <w:r>
        <w:t xml:space="preserve"> maintenance operations, as outlined in </w:t>
      </w:r>
      <w:hyperlink r:id="rId94" w:history="1">
        <w:r w:rsidRPr="00F5620D">
          <w:rPr>
            <w:rStyle w:val="Hyperlink"/>
          </w:rPr>
          <w:t>LIGO-T1000023</w:t>
        </w:r>
      </w:hyperlink>
      <w:r>
        <w:t xml:space="preserve">. </w:t>
      </w:r>
      <w:r w:rsidR="000041ED">
        <w:t xml:space="preserve"> During normal operation, the viewport glass will be exposed to the interior of the transmitter and receiver modules which will be fully enclosed and the enclosure covers will be interlocked such that an alarm will sound if they are removed without authorized access to the Pcal modules.  The only movable component inside the Pcal modules is the mechanical shutter inside the transmitter module and it will be located far from the viewport glass.</w:t>
      </w:r>
    </w:p>
    <w:p w14:paraId="49692439" w14:textId="77777777" w:rsidR="004119A8" w:rsidRDefault="004119A8" w:rsidP="005449AA">
      <w:pPr>
        <w:pStyle w:val="Heading1"/>
        <w:jc w:val="left"/>
      </w:pPr>
      <w:bookmarkStart w:id="204" w:name="_Toc170193826"/>
      <w:bookmarkStart w:id="205" w:name="_Toc321729388"/>
      <w:r>
        <w:t>Required Drawings and Documents</w:t>
      </w:r>
      <w:bookmarkEnd w:id="204"/>
      <w:bookmarkEnd w:id="205"/>
    </w:p>
    <w:p w14:paraId="05575197" w14:textId="77777777" w:rsidR="00882ED7" w:rsidRDefault="00882ED7" w:rsidP="00882ED7">
      <w:pPr>
        <w:pStyle w:val="Heading2"/>
      </w:pPr>
      <w:bookmarkStart w:id="206" w:name="_Toc321729389"/>
      <w:r>
        <w:t>Hardware Drawings/Bill of Materials</w:t>
      </w:r>
      <w:bookmarkEnd w:id="206"/>
    </w:p>
    <w:p w14:paraId="01E1C5FB" w14:textId="77777777" w:rsidR="00882ED7" w:rsidRDefault="00882ED7" w:rsidP="00882ED7">
      <w:pPr>
        <w:pStyle w:val="Heading3"/>
      </w:pPr>
      <w:bookmarkStart w:id="207" w:name="_Toc321729390"/>
      <w:r>
        <w:t>Transmitter Pylon (same for all ETMs, 6 required)</w:t>
      </w:r>
      <w:bookmarkEnd w:id="207"/>
    </w:p>
    <w:p w14:paraId="4D74E388" w14:textId="77777777" w:rsidR="00882ED7" w:rsidRDefault="00882ED7" w:rsidP="00882ED7">
      <w:pPr>
        <w:pStyle w:val="line862"/>
        <w:numPr>
          <w:ilvl w:val="0"/>
          <w:numId w:val="33"/>
        </w:numPr>
      </w:pPr>
      <w:r>
        <w:t>Pcal Transmitter Pylon (</w:t>
      </w:r>
      <w:hyperlink r:id="rId95" w:history="1">
        <w:r>
          <w:rPr>
            <w:rStyle w:val="Hyperlink"/>
          </w:rPr>
          <w:t>LIGO-D1000625</w:t>
        </w:r>
      </w:hyperlink>
      <w:r>
        <w:t xml:space="preserve">) (1 required) </w:t>
      </w:r>
    </w:p>
    <w:p w14:paraId="1849BED7" w14:textId="77777777" w:rsidR="00882ED7" w:rsidRDefault="00882ED7" w:rsidP="00882ED7">
      <w:pPr>
        <w:pStyle w:val="Heading3"/>
      </w:pPr>
      <w:bookmarkStart w:id="208" w:name="_Toc321729391"/>
      <w:r>
        <w:t>Transmitter Module (same for all ETMs, 6 required)</w:t>
      </w:r>
      <w:bookmarkEnd w:id="208"/>
    </w:p>
    <w:p w14:paraId="602AEDD5" w14:textId="77777777" w:rsidR="00882ED7" w:rsidRDefault="00882ED7" w:rsidP="00882ED7">
      <w:pPr>
        <w:pStyle w:val="line862"/>
        <w:numPr>
          <w:ilvl w:val="0"/>
          <w:numId w:val="34"/>
        </w:numPr>
      </w:pPr>
      <w:r>
        <w:t>Transmitter Module Layout (</w:t>
      </w:r>
      <w:hyperlink r:id="rId96" w:history="1">
        <w:r>
          <w:rPr>
            <w:rStyle w:val="Hyperlink"/>
          </w:rPr>
          <w:t>LIGO-D1102196</w:t>
        </w:r>
      </w:hyperlink>
      <w:r>
        <w:t xml:space="preserve">) </w:t>
      </w:r>
    </w:p>
    <w:p w14:paraId="69F2F944" w14:textId="77777777" w:rsidR="00882ED7" w:rsidRDefault="00882ED7" w:rsidP="00882ED7">
      <w:pPr>
        <w:pStyle w:val="line862"/>
        <w:numPr>
          <w:ilvl w:val="0"/>
          <w:numId w:val="34"/>
        </w:numPr>
      </w:pPr>
      <w:r>
        <w:lastRenderedPageBreak/>
        <w:t>Transmitter Module Breadboard (</w:t>
      </w:r>
      <w:proofErr w:type="spellStart"/>
      <w:r>
        <w:fldChar w:fldCharType="begin"/>
      </w:r>
      <w:r>
        <w:instrText xml:space="preserve"> HYPERLINK "http://www.thorlabs.us/thorProduct.cfm?partNumber=PBG12110" </w:instrText>
      </w:r>
      <w:r>
        <w:fldChar w:fldCharType="separate"/>
      </w:r>
      <w:r>
        <w:rPr>
          <w:rStyle w:val="Hyperlink"/>
        </w:rPr>
        <w:t>Thorlabs</w:t>
      </w:r>
      <w:proofErr w:type="spellEnd"/>
      <w:r>
        <w:rPr>
          <w:rStyle w:val="Hyperlink"/>
        </w:rPr>
        <w:t xml:space="preserve"> </w:t>
      </w:r>
      <w:proofErr w:type="spellStart"/>
      <w:r>
        <w:rPr>
          <w:rStyle w:val="Hyperlink"/>
        </w:rPr>
        <w:t>UltraLight</w:t>
      </w:r>
      <w:proofErr w:type="spellEnd"/>
      <w:r>
        <w:rPr>
          <w:rStyle w:val="Hyperlink"/>
        </w:rPr>
        <w:t xml:space="preserve"> PBG12110 3'x2.5'x2.2"</w:t>
      </w:r>
      <w:r>
        <w:fldChar w:fldCharType="end"/>
      </w:r>
      <w:r>
        <w:t xml:space="preserve">) - [COTS with a few additional clearance holes.] </w:t>
      </w:r>
    </w:p>
    <w:p w14:paraId="29518D55" w14:textId="77777777" w:rsidR="00882ED7" w:rsidRDefault="00882ED7" w:rsidP="00882ED7">
      <w:pPr>
        <w:pStyle w:val="line862"/>
        <w:numPr>
          <w:ilvl w:val="0"/>
          <w:numId w:val="34"/>
        </w:numPr>
      </w:pPr>
      <w:r>
        <w:t xml:space="preserve">Transmitter Module Enclosure - [Folded sheet metal, </w:t>
      </w:r>
      <w:hyperlink r:id="rId97" w:tooltip="similar design to eLIGO" w:history="1">
        <w:r>
          <w:rPr>
            <w:rStyle w:val="Hyperlink"/>
          </w:rPr>
          <w:t>similar design to eLIGO</w:t>
        </w:r>
      </w:hyperlink>
      <w:r>
        <w:t xml:space="preserve">.] </w:t>
      </w:r>
    </w:p>
    <w:p w14:paraId="38A7B15F" w14:textId="77777777" w:rsidR="00882ED7" w:rsidRDefault="00882ED7" w:rsidP="00882ED7">
      <w:pPr>
        <w:pStyle w:val="line862"/>
        <w:numPr>
          <w:ilvl w:val="0"/>
          <w:numId w:val="34"/>
        </w:numPr>
      </w:pPr>
      <w:r>
        <w:t>Transmitter Module Breadboard Mounting Adapter (2 required) - (</w:t>
      </w:r>
      <w:hyperlink r:id="rId98" w:history="1">
        <w:r>
          <w:rPr>
            <w:rStyle w:val="Hyperlink"/>
          </w:rPr>
          <w:t>LIGO-D1200450</w:t>
        </w:r>
      </w:hyperlink>
      <w:r>
        <w:t xml:space="preserve">) </w:t>
      </w:r>
    </w:p>
    <w:p w14:paraId="144C6BE5" w14:textId="77777777" w:rsidR="00882ED7" w:rsidRDefault="00882ED7" w:rsidP="00882ED7">
      <w:pPr>
        <w:pStyle w:val="line862"/>
        <w:numPr>
          <w:ilvl w:val="0"/>
          <w:numId w:val="34"/>
        </w:numPr>
      </w:pPr>
      <w:r>
        <w:t>Transmitter Module Laser Shutter (1 required) - (</w:t>
      </w:r>
      <w:hyperlink r:id="rId99" w:history="1">
        <w:r>
          <w:rPr>
            <w:rStyle w:val="Hyperlink"/>
          </w:rPr>
          <w:t>RT Technologies: LS 10-12</w:t>
        </w:r>
      </w:hyperlink>
      <w:r>
        <w:t xml:space="preserve">) </w:t>
      </w:r>
    </w:p>
    <w:p w14:paraId="52D3F6A0" w14:textId="77777777" w:rsidR="00882ED7" w:rsidRDefault="00882ED7" w:rsidP="00882ED7">
      <w:pPr>
        <w:pStyle w:val="Heading3"/>
      </w:pPr>
      <w:bookmarkStart w:id="209" w:name="_Toc321729392"/>
      <w:r>
        <w:t>Receiver Module (same for all ETMs, 6 required)</w:t>
      </w:r>
      <w:bookmarkEnd w:id="209"/>
    </w:p>
    <w:p w14:paraId="28A92813" w14:textId="77777777" w:rsidR="00882ED7" w:rsidRDefault="00882ED7" w:rsidP="00882ED7">
      <w:pPr>
        <w:pStyle w:val="line862"/>
        <w:numPr>
          <w:ilvl w:val="0"/>
          <w:numId w:val="35"/>
        </w:numPr>
      </w:pPr>
      <w:r>
        <w:t>Receiver Module Layout (</w:t>
      </w:r>
      <w:hyperlink r:id="rId100" w:history="1">
        <w:r>
          <w:rPr>
            <w:rStyle w:val="Hyperlink"/>
          </w:rPr>
          <w:t>LIGO-D1200216</w:t>
        </w:r>
      </w:hyperlink>
      <w:r>
        <w:t xml:space="preserve">) </w:t>
      </w:r>
    </w:p>
    <w:p w14:paraId="7C733378" w14:textId="77777777" w:rsidR="00882ED7" w:rsidRDefault="00882ED7" w:rsidP="00882ED7">
      <w:pPr>
        <w:pStyle w:val="line862"/>
        <w:numPr>
          <w:ilvl w:val="0"/>
          <w:numId w:val="35"/>
        </w:numPr>
      </w:pPr>
      <w:r>
        <w:t>Receiver Module Breadboard (</w:t>
      </w:r>
      <w:proofErr w:type="spellStart"/>
      <w:r>
        <w:fldChar w:fldCharType="begin"/>
      </w:r>
      <w:r>
        <w:instrText xml:space="preserve"> HYPERLINK "http://www.thorlabs.us/thorproduct.cfm?partnumber=MB1224" </w:instrText>
      </w:r>
      <w:r>
        <w:fldChar w:fldCharType="separate"/>
      </w:r>
      <w:r>
        <w:rPr>
          <w:rStyle w:val="Hyperlink"/>
        </w:rPr>
        <w:t>Thorlabs</w:t>
      </w:r>
      <w:proofErr w:type="spellEnd"/>
      <w:r>
        <w:rPr>
          <w:rStyle w:val="Hyperlink"/>
        </w:rPr>
        <w:t xml:space="preserve"> MB1224</w:t>
      </w:r>
      <w:r>
        <w:fldChar w:fldCharType="end"/>
      </w:r>
      <w:r>
        <w:t xml:space="preserve">) - [COTS] </w:t>
      </w:r>
    </w:p>
    <w:p w14:paraId="6A8A893D" w14:textId="77777777" w:rsidR="00882ED7" w:rsidRDefault="00882ED7" w:rsidP="00882ED7">
      <w:pPr>
        <w:pStyle w:val="line862"/>
        <w:numPr>
          <w:ilvl w:val="0"/>
          <w:numId w:val="35"/>
        </w:numPr>
      </w:pPr>
      <w:r>
        <w:t xml:space="preserve">Receiver Module Enclosure - [Folded sheet metal, </w:t>
      </w:r>
      <w:hyperlink r:id="rId101" w:tooltip="similar design to eLIGO" w:history="1">
        <w:r>
          <w:rPr>
            <w:rStyle w:val="Hyperlink"/>
          </w:rPr>
          <w:t>similar design to eLIGO</w:t>
        </w:r>
      </w:hyperlink>
      <w:r>
        <w:t xml:space="preserve">.] </w:t>
      </w:r>
    </w:p>
    <w:p w14:paraId="5FBFD2BC" w14:textId="77777777" w:rsidR="00882ED7" w:rsidRDefault="00882ED7" w:rsidP="00882ED7">
      <w:pPr>
        <w:numPr>
          <w:ilvl w:val="0"/>
          <w:numId w:val="35"/>
        </w:numPr>
        <w:spacing w:before="100" w:beforeAutospacing="1" w:after="100" w:afterAutospacing="1"/>
        <w:jc w:val="left"/>
      </w:pPr>
      <w:r>
        <w:t xml:space="preserve">Receiver Module Breadboard 1.5" Spacers (3 required) </w:t>
      </w:r>
    </w:p>
    <w:p w14:paraId="5D044D83" w14:textId="77777777" w:rsidR="00882ED7" w:rsidRDefault="00882ED7" w:rsidP="00882ED7">
      <w:pPr>
        <w:pStyle w:val="Heading3"/>
      </w:pPr>
      <w:bookmarkStart w:id="210" w:name="_Toc321729393"/>
      <w:r>
        <w:t>In-Vacuum Pcal-Video Cam Periscope Assembly (same for each ETM, except left-right symmetry)</w:t>
      </w:r>
      <w:bookmarkEnd w:id="210"/>
    </w:p>
    <w:p w14:paraId="091E84EB" w14:textId="77777777" w:rsidR="00882ED7" w:rsidRDefault="00882ED7" w:rsidP="00882ED7">
      <w:pPr>
        <w:pStyle w:val="Heading4"/>
      </w:pPr>
      <w:bookmarkStart w:id="211" w:name="_Toc321729394"/>
      <w:r>
        <w:t>H1/L1 (4 required)</w:t>
      </w:r>
      <w:bookmarkEnd w:id="211"/>
    </w:p>
    <w:p w14:paraId="72DDD52E" w14:textId="77777777" w:rsidR="00882ED7" w:rsidRDefault="00882ED7" w:rsidP="00882ED7">
      <w:pPr>
        <w:pStyle w:val="line862"/>
      </w:pPr>
      <w:r>
        <w:t>Main Assembly (</w:t>
      </w:r>
      <w:hyperlink r:id="rId102" w:history="1">
        <w:r>
          <w:rPr>
            <w:rStyle w:val="Hyperlink"/>
          </w:rPr>
          <w:t>LIGO-D1200174</w:t>
        </w:r>
      </w:hyperlink>
      <w:r>
        <w:t xml:space="preserve">) </w:t>
      </w:r>
    </w:p>
    <w:p w14:paraId="43482D30" w14:textId="77777777" w:rsidR="00882ED7" w:rsidRDefault="00882ED7" w:rsidP="00882ED7">
      <w:pPr>
        <w:pStyle w:val="line862"/>
      </w:pPr>
      <w:r>
        <w:t>Sub-assembly: Launch Window-Side Periscope (</w:t>
      </w:r>
      <w:hyperlink r:id="rId103" w:history="1">
        <w:r>
          <w:rPr>
            <w:rStyle w:val="Hyperlink"/>
          </w:rPr>
          <w:t>LIGO-D1200170</w:t>
        </w:r>
      </w:hyperlink>
      <w:r>
        <w:t xml:space="preserve">) </w:t>
      </w:r>
    </w:p>
    <w:p w14:paraId="42FA5E6F" w14:textId="77777777" w:rsidR="00882ED7" w:rsidRDefault="00882ED7" w:rsidP="00882ED7">
      <w:pPr>
        <w:pStyle w:val="line862"/>
      </w:pPr>
      <w:r>
        <w:t>Sub-assembly: Receive ETM-Side Periscope (</w:t>
      </w:r>
      <w:hyperlink r:id="rId104" w:history="1">
        <w:r>
          <w:rPr>
            <w:rStyle w:val="Hyperlink"/>
          </w:rPr>
          <w:t>LIGO-D1200172</w:t>
        </w:r>
      </w:hyperlink>
      <w:r>
        <w:t xml:space="preserve">) </w:t>
      </w:r>
    </w:p>
    <w:p w14:paraId="1A05938E" w14:textId="77777777" w:rsidR="00882ED7" w:rsidRDefault="00882ED7" w:rsidP="00882ED7">
      <w:pPr>
        <w:pStyle w:val="line862"/>
      </w:pPr>
      <w:r>
        <w:t>Sub-assembly: Receive Window-Side Periscope (</w:t>
      </w:r>
      <w:hyperlink r:id="rId105" w:history="1">
        <w:r>
          <w:rPr>
            <w:rStyle w:val="Hyperlink"/>
          </w:rPr>
          <w:t>LIGO-D1200171</w:t>
        </w:r>
      </w:hyperlink>
      <w:r>
        <w:t xml:space="preserve">) </w:t>
      </w:r>
    </w:p>
    <w:p w14:paraId="62FA7025" w14:textId="77777777" w:rsidR="00882ED7" w:rsidRDefault="00882ED7" w:rsidP="00882ED7">
      <w:pPr>
        <w:pStyle w:val="line862"/>
      </w:pPr>
      <w:r>
        <w:t>Sub-assembly: Compression Ring (</w:t>
      </w:r>
      <w:hyperlink r:id="rId106" w:history="1">
        <w:r>
          <w:rPr>
            <w:rStyle w:val="Hyperlink"/>
          </w:rPr>
          <w:t>LIGO-D1200169</w:t>
        </w:r>
      </w:hyperlink>
      <w:r>
        <w:t xml:space="preserve">) </w:t>
      </w:r>
    </w:p>
    <w:p w14:paraId="3CAD392C" w14:textId="77777777" w:rsidR="00882ED7" w:rsidRDefault="00882ED7" w:rsidP="00882ED7">
      <w:pPr>
        <w:pStyle w:val="line862"/>
      </w:pPr>
      <w:r>
        <w:t>Sub-assembly: 2" Mirror and Mount Assembly (</w:t>
      </w:r>
      <w:hyperlink r:id="rId107" w:history="1">
        <w:r>
          <w:rPr>
            <w:rStyle w:val="Hyperlink"/>
          </w:rPr>
          <w:t>LIGO-D1102439</w:t>
        </w:r>
      </w:hyperlink>
      <w:r>
        <w:t xml:space="preserve">) </w:t>
      </w:r>
    </w:p>
    <w:p w14:paraId="5C771EE1" w14:textId="77777777" w:rsidR="00882ED7" w:rsidRDefault="00E57C6B" w:rsidP="00882ED7">
      <w:r>
        <w:pict w14:anchorId="61127B4A">
          <v:rect id="_x0000_i1027" style="width:0;height:1.5pt" o:hralign="center" o:hrstd="t" o:hr="t" fillcolor="gray" stroked="f"/>
        </w:pict>
      </w:r>
    </w:p>
    <w:p w14:paraId="60E88C08" w14:textId="77777777" w:rsidR="00882ED7" w:rsidRDefault="00882ED7" w:rsidP="00882ED7">
      <w:pPr>
        <w:pStyle w:val="line862"/>
        <w:numPr>
          <w:ilvl w:val="0"/>
          <w:numId w:val="36"/>
        </w:numPr>
      </w:pPr>
      <w:r>
        <w:t>Compression Ring Half, H1 Launch Side (</w:t>
      </w:r>
      <w:hyperlink r:id="rId108" w:history="1">
        <w:r>
          <w:rPr>
            <w:rStyle w:val="Hyperlink"/>
          </w:rPr>
          <w:t>LIGO-D1102353</w:t>
        </w:r>
      </w:hyperlink>
      <w:r>
        <w:t xml:space="preserve">) (1 required) </w:t>
      </w:r>
    </w:p>
    <w:p w14:paraId="5450F721" w14:textId="77777777" w:rsidR="00882ED7" w:rsidRDefault="00882ED7" w:rsidP="00882ED7">
      <w:pPr>
        <w:pStyle w:val="line862"/>
        <w:numPr>
          <w:ilvl w:val="0"/>
          <w:numId w:val="36"/>
        </w:numPr>
      </w:pPr>
      <w:r>
        <w:t>Compression Ring Half, H1 Receive Side (</w:t>
      </w:r>
      <w:hyperlink r:id="rId109" w:history="1">
        <w:r>
          <w:rPr>
            <w:rStyle w:val="Hyperlink"/>
          </w:rPr>
          <w:t>LIGO-D1102354</w:t>
        </w:r>
      </w:hyperlink>
      <w:r>
        <w:t xml:space="preserve">) (1 required) </w:t>
      </w:r>
    </w:p>
    <w:p w14:paraId="4125A03A" w14:textId="77777777" w:rsidR="00882ED7" w:rsidRDefault="00882ED7" w:rsidP="00882ED7">
      <w:pPr>
        <w:pStyle w:val="line862"/>
        <w:numPr>
          <w:ilvl w:val="0"/>
          <w:numId w:val="36"/>
        </w:numPr>
      </w:pPr>
      <w:r>
        <w:t>Ring Plate Mounting Adapter (</w:t>
      </w:r>
      <w:hyperlink r:id="rId110" w:history="1">
        <w:r>
          <w:rPr>
            <w:rStyle w:val="Hyperlink"/>
          </w:rPr>
          <w:t>LIGO-D1102355</w:t>
        </w:r>
      </w:hyperlink>
      <w:r>
        <w:t xml:space="preserve">) (4 required) </w:t>
      </w:r>
    </w:p>
    <w:p w14:paraId="5B80B8D8" w14:textId="77777777" w:rsidR="00882ED7" w:rsidRDefault="00882ED7" w:rsidP="00882ED7">
      <w:pPr>
        <w:pStyle w:val="line862"/>
        <w:numPr>
          <w:ilvl w:val="0"/>
          <w:numId w:val="36"/>
        </w:numPr>
      </w:pPr>
      <w:r>
        <w:t>Receive, Window-Side, Ring Mounted, Periscope Plate (</w:t>
      </w:r>
      <w:hyperlink r:id="rId111" w:history="1">
        <w:r>
          <w:rPr>
            <w:rStyle w:val="Hyperlink"/>
          </w:rPr>
          <w:t>LIGO-D1102356</w:t>
        </w:r>
      </w:hyperlink>
      <w:r>
        <w:t xml:space="preserve">) (1 required) </w:t>
      </w:r>
    </w:p>
    <w:p w14:paraId="74402642" w14:textId="77777777" w:rsidR="00882ED7" w:rsidRDefault="00882ED7" w:rsidP="00882ED7">
      <w:pPr>
        <w:pStyle w:val="line862"/>
        <w:numPr>
          <w:ilvl w:val="0"/>
          <w:numId w:val="36"/>
        </w:numPr>
      </w:pPr>
      <w:r>
        <w:t>Launch, Window-Side, Ring Mounted, Periscope Plate (</w:t>
      </w:r>
      <w:hyperlink r:id="rId112" w:history="1">
        <w:r>
          <w:rPr>
            <w:rStyle w:val="Hyperlink"/>
          </w:rPr>
          <w:t>LIGO-D1102357</w:t>
        </w:r>
      </w:hyperlink>
      <w:r>
        <w:t xml:space="preserve">) (1 required) </w:t>
      </w:r>
    </w:p>
    <w:p w14:paraId="5C08B27A" w14:textId="77777777" w:rsidR="00882ED7" w:rsidRDefault="00882ED7" w:rsidP="00882ED7">
      <w:pPr>
        <w:pStyle w:val="line862"/>
        <w:numPr>
          <w:ilvl w:val="0"/>
          <w:numId w:val="36"/>
        </w:numPr>
      </w:pPr>
      <w:r>
        <w:t>Launch, ETM-Side, Ring Mounted, Periscope Plate (</w:t>
      </w:r>
      <w:hyperlink r:id="rId113" w:history="1">
        <w:r>
          <w:rPr>
            <w:rStyle w:val="Hyperlink"/>
          </w:rPr>
          <w:t>LIGO-D1102358</w:t>
        </w:r>
      </w:hyperlink>
      <w:r>
        <w:t xml:space="preserve">) (1 required) </w:t>
      </w:r>
    </w:p>
    <w:p w14:paraId="54B3DFF1" w14:textId="77777777" w:rsidR="00882ED7" w:rsidRDefault="00882ED7" w:rsidP="00882ED7">
      <w:pPr>
        <w:pStyle w:val="line862"/>
        <w:numPr>
          <w:ilvl w:val="0"/>
          <w:numId w:val="36"/>
        </w:numPr>
      </w:pPr>
      <w:r>
        <w:t>Receive, ETM-Side, Ring Mounted, Periscope Plate (</w:t>
      </w:r>
      <w:hyperlink r:id="rId114" w:history="1">
        <w:r>
          <w:rPr>
            <w:rStyle w:val="Hyperlink"/>
          </w:rPr>
          <w:t>LIGO-D1102359</w:t>
        </w:r>
      </w:hyperlink>
      <w:r>
        <w:t xml:space="preserve">) (1 required) </w:t>
      </w:r>
    </w:p>
    <w:p w14:paraId="13A2F06D" w14:textId="77777777" w:rsidR="00882ED7" w:rsidRDefault="00882ED7" w:rsidP="00882ED7">
      <w:pPr>
        <w:pStyle w:val="line862"/>
        <w:numPr>
          <w:ilvl w:val="0"/>
          <w:numId w:val="36"/>
        </w:numPr>
      </w:pPr>
      <w:r>
        <w:t>2" Mirror Mount 45° Round (</w:t>
      </w:r>
      <w:hyperlink r:id="rId115" w:history="1">
        <w:r>
          <w:rPr>
            <w:rStyle w:val="Hyperlink"/>
          </w:rPr>
          <w:t>LIGO-D1101560</w:t>
        </w:r>
      </w:hyperlink>
      <w:r>
        <w:t xml:space="preserve">) (4 required) </w:t>
      </w:r>
    </w:p>
    <w:p w14:paraId="6CEE5133" w14:textId="77777777" w:rsidR="00882ED7" w:rsidRDefault="00882ED7" w:rsidP="00882ED7">
      <w:pPr>
        <w:pStyle w:val="line862"/>
        <w:numPr>
          <w:ilvl w:val="0"/>
          <w:numId w:val="36"/>
        </w:numPr>
      </w:pPr>
      <w:r>
        <w:t>2" Mirror Mount 45° Round Base (</w:t>
      </w:r>
      <w:hyperlink r:id="rId116" w:history="1">
        <w:r>
          <w:rPr>
            <w:rStyle w:val="Hyperlink"/>
          </w:rPr>
          <w:t>LIGO-D1102360</w:t>
        </w:r>
      </w:hyperlink>
      <w:r>
        <w:t xml:space="preserve">) (4 required) </w:t>
      </w:r>
    </w:p>
    <w:p w14:paraId="0DADF5EF" w14:textId="77777777" w:rsidR="00882ED7" w:rsidRDefault="00882ED7" w:rsidP="00882ED7">
      <w:pPr>
        <w:pStyle w:val="line862"/>
        <w:numPr>
          <w:ilvl w:val="0"/>
          <w:numId w:val="36"/>
        </w:numPr>
      </w:pPr>
      <w:r>
        <w:t>Pcal Tube Standoff (</w:t>
      </w:r>
      <w:hyperlink r:id="rId117" w:history="1">
        <w:r>
          <w:rPr>
            <w:rStyle w:val="Hyperlink"/>
          </w:rPr>
          <w:t>LIGO-D1200175</w:t>
        </w:r>
      </w:hyperlink>
      <w:r>
        <w:t xml:space="preserve">) (9? required) </w:t>
      </w:r>
    </w:p>
    <w:p w14:paraId="65C09495" w14:textId="77777777" w:rsidR="00882ED7" w:rsidRDefault="00882ED7" w:rsidP="00882ED7">
      <w:pPr>
        <w:pStyle w:val="line862"/>
        <w:numPr>
          <w:ilvl w:val="0"/>
          <w:numId w:val="36"/>
        </w:numPr>
      </w:pPr>
      <w:r>
        <w:t>2" Siskiyou Mount with Hex Drive Option (</w:t>
      </w:r>
      <w:hyperlink r:id="rId118" w:history="1">
        <w:r>
          <w:rPr>
            <w:rStyle w:val="Hyperlink"/>
          </w:rPr>
          <w:t>Siskiyou IXM200.C2-RH,-LH</w:t>
        </w:r>
      </w:hyperlink>
      <w:r>
        <w:t xml:space="preserve">) (4 required) </w:t>
      </w:r>
    </w:p>
    <w:p w14:paraId="28111244" w14:textId="77777777" w:rsidR="00882ED7" w:rsidRDefault="00882ED7" w:rsidP="00882ED7">
      <w:pPr>
        <w:numPr>
          <w:ilvl w:val="0"/>
          <w:numId w:val="36"/>
        </w:numPr>
        <w:spacing w:before="100" w:beforeAutospacing="1" w:after="100" w:afterAutospacing="1"/>
        <w:jc w:val="left"/>
      </w:pPr>
      <w:r>
        <w:t xml:space="preserve">Precision Photonics 2" Diameter x 3/8" Thickness, HR at 45 </w:t>
      </w:r>
      <w:proofErr w:type="spellStart"/>
      <w:r>
        <w:t>Deg</w:t>
      </w:r>
      <w:proofErr w:type="spellEnd"/>
      <w:r>
        <w:t xml:space="preserve"> Incidence Mirror (8 required) </w:t>
      </w:r>
    </w:p>
    <w:p w14:paraId="31F67107" w14:textId="77777777" w:rsidR="00882ED7" w:rsidRDefault="00882ED7" w:rsidP="00882ED7">
      <w:pPr>
        <w:pStyle w:val="Heading4"/>
      </w:pPr>
      <w:bookmarkStart w:id="212" w:name="_Toc321729395"/>
      <w:r>
        <w:lastRenderedPageBreak/>
        <w:t>H2 (2 required)</w:t>
      </w:r>
      <w:bookmarkEnd w:id="212"/>
    </w:p>
    <w:p w14:paraId="565AE778" w14:textId="77777777" w:rsidR="00882ED7" w:rsidRDefault="00882ED7" w:rsidP="00882ED7">
      <w:pPr>
        <w:pStyle w:val="line862"/>
      </w:pPr>
      <w:r>
        <w:t>Main Assembly (</w:t>
      </w:r>
      <w:hyperlink r:id="rId119" w:history="1">
        <w:r>
          <w:rPr>
            <w:rStyle w:val="Hyperlink"/>
          </w:rPr>
          <w:t>LIGO-1200179</w:t>
        </w:r>
      </w:hyperlink>
      <w:r>
        <w:t xml:space="preserve">) </w:t>
      </w:r>
    </w:p>
    <w:p w14:paraId="786EBCD5" w14:textId="77777777" w:rsidR="00882ED7" w:rsidRDefault="00882ED7" w:rsidP="00882ED7">
      <w:pPr>
        <w:pStyle w:val="line862"/>
      </w:pPr>
      <w:r>
        <w:t>Sub-assembly: Compression Ring (</w:t>
      </w:r>
      <w:hyperlink r:id="rId120" w:history="1">
        <w:r>
          <w:rPr>
            <w:rStyle w:val="Hyperlink"/>
          </w:rPr>
          <w:t>LIGO-D1200169</w:t>
        </w:r>
      </w:hyperlink>
      <w:r>
        <w:t xml:space="preserve">) </w:t>
      </w:r>
    </w:p>
    <w:p w14:paraId="4B4F3A34" w14:textId="77777777" w:rsidR="00882ED7" w:rsidRDefault="00882ED7" w:rsidP="00882ED7">
      <w:pPr>
        <w:pStyle w:val="line862"/>
      </w:pPr>
      <w:r>
        <w:t>Sub-assembly: Periscope Bridge (</w:t>
      </w:r>
      <w:hyperlink r:id="rId121" w:history="1">
        <w:r>
          <w:rPr>
            <w:rStyle w:val="Hyperlink"/>
          </w:rPr>
          <w:t>LIGO-D1200180</w:t>
        </w:r>
      </w:hyperlink>
      <w:r>
        <w:t xml:space="preserve">) </w:t>
      </w:r>
    </w:p>
    <w:p w14:paraId="3978BC6D" w14:textId="77777777" w:rsidR="00882ED7" w:rsidRDefault="00882ED7" w:rsidP="00882ED7">
      <w:pPr>
        <w:pStyle w:val="line862"/>
      </w:pPr>
      <w:r>
        <w:t>Sub-assembly: 2" Mirror and Mount Assembly (</w:t>
      </w:r>
      <w:hyperlink r:id="rId122" w:history="1">
        <w:r>
          <w:rPr>
            <w:rStyle w:val="Hyperlink"/>
          </w:rPr>
          <w:t>LIGO-D1102439</w:t>
        </w:r>
      </w:hyperlink>
      <w:r>
        <w:t xml:space="preserve">) </w:t>
      </w:r>
    </w:p>
    <w:p w14:paraId="67E16BC6" w14:textId="77777777" w:rsidR="00882ED7" w:rsidRDefault="00E57C6B" w:rsidP="00882ED7">
      <w:r>
        <w:pict w14:anchorId="1D10A7E5">
          <v:rect id="_x0000_i1028" style="width:0;height:1.5pt" o:hralign="center" o:hrstd="t" o:hr="t" fillcolor="gray" stroked="f"/>
        </w:pict>
      </w:r>
    </w:p>
    <w:p w14:paraId="4DF08463" w14:textId="77777777" w:rsidR="00882ED7" w:rsidRDefault="00882ED7" w:rsidP="00882ED7">
      <w:pPr>
        <w:pStyle w:val="line862"/>
        <w:numPr>
          <w:ilvl w:val="0"/>
          <w:numId w:val="37"/>
        </w:numPr>
      </w:pPr>
      <w:r>
        <w:t>Compression Ring Half, H2 Launch Side (</w:t>
      </w:r>
      <w:hyperlink r:id="rId123" w:history="1">
        <w:r>
          <w:rPr>
            <w:rStyle w:val="Hyperlink"/>
          </w:rPr>
          <w:t>LIGO-D1102362</w:t>
        </w:r>
      </w:hyperlink>
      <w:r>
        <w:t xml:space="preserve">) (1 required) </w:t>
      </w:r>
    </w:p>
    <w:p w14:paraId="1F13B4AA" w14:textId="77777777" w:rsidR="00882ED7" w:rsidRDefault="00882ED7" w:rsidP="00882ED7">
      <w:pPr>
        <w:pStyle w:val="line862"/>
        <w:numPr>
          <w:ilvl w:val="0"/>
          <w:numId w:val="37"/>
        </w:numPr>
      </w:pPr>
      <w:r>
        <w:t>Compression Ring Half, H2 Receive Side (</w:t>
      </w:r>
      <w:hyperlink r:id="rId124" w:history="1">
        <w:r>
          <w:rPr>
            <w:rStyle w:val="Hyperlink"/>
          </w:rPr>
          <w:t>LIGO-D1102363</w:t>
        </w:r>
      </w:hyperlink>
      <w:r>
        <w:t xml:space="preserve">) (1 required) </w:t>
      </w:r>
    </w:p>
    <w:p w14:paraId="5206AA69" w14:textId="77777777" w:rsidR="00882ED7" w:rsidRDefault="00882ED7" w:rsidP="00882ED7">
      <w:pPr>
        <w:pStyle w:val="line862"/>
        <w:numPr>
          <w:ilvl w:val="0"/>
          <w:numId w:val="37"/>
        </w:numPr>
      </w:pPr>
      <w:r>
        <w:t>Ring Plate Mounting Adapter (</w:t>
      </w:r>
      <w:hyperlink r:id="rId125" w:history="1">
        <w:r>
          <w:rPr>
            <w:rStyle w:val="Hyperlink"/>
          </w:rPr>
          <w:t>LIGO-D1102355</w:t>
        </w:r>
      </w:hyperlink>
      <w:r>
        <w:t xml:space="preserve">) (2 required) </w:t>
      </w:r>
    </w:p>
    <w:p w14:paraId="64C45103" w14:textId="77777777" w:rsidR="00882ED7" w:rsidRDefault="00882ED7" w:rsidP="00882ED7">
      <w:pPr>
        <w:pStyle w:val="line862"/>
        <w:numPr>
          <w:ilvl w:val="0"/>
          <w:numId w:val="37"/>
        </w:numPr>
      </w:pPr>
      <w:r>
        <w:t>Port Main Bridge Plate Structure (</w:t>
      </w:r>
      <w:hyperlink r:id="rId126" w:history="1">
        <w:r>
          <w:rPr>
            <w:rStyle w:val="Hyperlink"/>
          </w:rPr>
          <w:t>LIGO-D1101598</w:t>
        </w:r>
      </w:hyperlink>
      <w:r>
        <w:t xml:space="preserve">) (1 required) </w:t>
      </w:r>
    </w:p>
    <w:p w14:paraId="5A64DC3F" w14:textId="77777777" w:rsidR="00882ED7" w:rsidRDefault="00882ED7" w:rsidP="00882ED7">
      <w:pPr>
        <w:pStyle w:val="line862"/>
        <w:numPr>
          <w:ilvl w:val="0"/>
          <w:numId w:val="37"/>
        </w:numPr>
      </w:pPr>
      <w:r>
        <w:t>2" Mirror Mount 45° Round (</w:t>
      </w:r>
      <w:hyperlink r:id="rId127" w:history="1">
        <w:r>
          <w:rPr>
            <w:rStyle w:val="Hyperlink"/>
          </w:rPr>
          <w:t>LIGO-D1101560</w:t>
        </w:r>
      </w:hyperlink>
      <w:r>
        <w:t xml:space="preserve">) (6 required) </w:t>
      </w:r>
    </w:p>
    <w:p w14:paraId="6A6235E6" w14:textId="77777777" w:rsidR="00882ED7" w:rsidRDefault="00882ED7" w:rsidP="00882ED7">
      <w:pPr>
        <w:pStyle w:val="line862"/>
        <w:numPr>
          <w:ilvl w:val="0"/>
          <w:numId w:val="37"/>
        </w:numPr>
      </w:pPr>
      <w:r>
        <w:t>2" Mirror Mount 45° Round Base (</w:t>
      </w:r>
      <w:hyperlink r:id="rId128" w:history="1">
        <w:r>
          <w:rPr>
            <w:rStyle w:val="Hyperlink"/>
          </w:rPr>
          <w:t>LIGO-D1102360</w:t>
        </w:r>
      </w:hyperlink>
      <w:r>
        <w:t xml:space="preserve">) (6 required) </w:t>
      </w:r>
    </w:p>
    <w:p w14:paraId="54BAB0AA" w14:textId="77777777" w:rsidR="00882ED7" w:rsidRDefault="00882ED7" w:rsidP="00882ED7">
      <w:pPr>
        <w:pStyle w:val="line862"/>
        <w:numPr>
          <w:ilvl w:val="0"/>
          <w:numId w:val="37"/>
        </w:numPr>
      </w:pPr>
      <w:r>
        <w:t>2" Siskiyou Mount with Hex Drive Option (</w:t>
      </w:r>
      <w:hyperlink r:id="rId129" w:history="1">
        <w:r>
          <w:rPr>
            <w:rStyle w:val="Hyperlink"/>
          </w:rPr>
          <w:t>Siskiyou IXM200.C2-RH,-LH</w:t>
        </w:r>
      </w:hyperlink>
      <w:r>
        <w:t xml:space="preserve">) (4 required) </w:t>
      </w:r>
    </w:p>
    <w:p w14:paraId="19184A1E" w14:textId="77777777" w:rsidR="00882ED7" w:rsidRDefault="00882ED7" w:rsidP="00882ED7">
      <w:pPr>
        <w:numPr>
          <w:ilvl w:val="0"/>
          <w:numId w:val="37"/>
        </w:numPr>
        <w:spacing w:before="100" w:beforeAutospacing="1" w:after="100" w:afterAutospacing="1"/>
        <w:jc w:val="left"/>
      </w:pPr>
      <w:r>
        <w:t xml:space="preserve">Precision Photonics 2" Diameter x 3/8" Thickness, HR at 45 </w:t>
      </w:r>
      <w:proofErr w:type="spellStart"/>
      <w:r>
        <w:t>Deg</w:t>
      </w:r>
      <w:proofErr w:type="spellEnd"/>
      <w:r>
        <w:t xml:space="preserve"> Incidence Mirror (10 required) </w:t>
      </w:r>
    </w:p>
    <w:p w14:paraId="53E02B00" w14:textId="77777777" w:rsidR="00882ED7" w:rsidRDefault="00882ED7" w:rsidP="00882ED7">
      <w:pPr>
        <w:pStyle w:val="Heading3"/>
      </w:pPr>
      <w:bookmarkStart w:id="213" w:name="_Toc321729396"/>
      <w:r>
        <w:t>ETM Camera In-</w:t>
      </w:r>
      <w:proofErr w:type="spellStart"/>
      <w:r>
        <w:t>Vaccum</w:t>
      </w:r>
      <w:proofErr w:type="spellEnd"/>
      <w:r>
        <w:t xml:space="preserve"> Periscope Hardware [Mike Smith, ISC] (same for each ETM, except left-right symmetry)</w:t>
      </w:r>
      <w:bookmarkEnd w:id="213"/>
    </w:p>
    <w:p w14:paraId="59DE917D" w14:textId="77777777" w:rsidR="00882ED7" w:rsidRDefault="00882ED7" w:rsidP="00882ED7">
      <w:pPr>
        <w:pStyle w:val="Heading4"/>
      </w:pPr>
      <w:bookmarkStart w:id="214" w:name="_Toc321729397"/>
      <w:r>
        <w:t>H1/L1 (4 required)</w:t>
      </w:r>
      <w:bookmarkEnd w:id="214"/>
    </w:p>
    <w:p w14:paraId="4A80573B" w14:textId="77777777" w:rsidR="00882ED7" w:rsidRDefault="00882ED7" w:rsidP="00882ED7">
      <w:pPr>
        <w:pStyle w:val="line862"/>
      </w:pPr>
      <w:r>
        <w:t>Main Assembly: Pcal-Cameras Assembly (</w:t>
      </w:r>
      <w:hyperlink r:id="rId130" w:history="1">
        <w:r>
          <w:rPr>
            <w:rStyle w:val="Hyperlink"/>
          </w:rPr>
          <w:t>LIGO-D1200174</w:t>
        </w:r>
      </w:hyperlink>
      <w:r>
        <w:t xml:space="preserve">) </w:t>
      </w:r>
    </w:p>
    <w:p w14:paraId="389F3EB6" w14:textId="77777777" w:rsidR="00882ED7" w:rsidRDefault="00882ED7" w:rsidP="00882ED7">
      <w:pPr>
        <w:pStyle w:val="line862"/>
      </w:pPr>
      <w:r>
        <w:t>Sub-assembly: Top Mirror Mounting Plate and Mounted Mirror Assembly (</w:t>
      </w:r>
      <w:hyperlink r:id="rId131" w:history="1">
        <w:r>
          <w:rPr>
            <w:rStyle w:val="Hyperlink"/>
          </w:rPr>
          <w:t>LIGO-1200195</w:t>
        </w:r>
      </w:hyperlink>
      <w:r>
        <w:t xml:space="preserve">) </w:t>
      </w:r>
    </w:p>
    <w:p w14:paraId="5035A282" w14:textId="77777777" w:rsidR="00882ED7" w:rsidRDefault="00882ED7" w:rsidP="00882ED7">
      <w:pPr>
        <w:pStyle w:val="line862"/>
      </w:pPr>
      <w:r>
        <w:t>Sub-assembly: Bottom Mirror Mounting Plate and Mounted Mirror Assembly (</w:t>
      </w:r>
      <w:hyperlink r:id="rId132" w:history="1">
        <w:r>
          <w:rPr>
            <w:rStyle w:val="Hyperlink"/>
          </w:rPr>
          <w:t>LIGO-1200193</w:t>
        </w:r>
      </w:hyperlink>
      <w:r>
        <w:t xml:space="preserve">) </w:t>
      </w:r>
    </w:p>
    <w:p w14:paraId="34A83FA0" w14:textId="77777777" w:rsidR="00882ED7" w:rsidRDefault="00E57C6B" w:rsidP="00882ED7">
      <w:r>
        <w:pict w14:anchorId="2305AB40">
          <v:rect id="_x0000_i1029" style="width:0;height:1.5pt" o:hralign="center" o:hrstd="t" o:hr="t" fillcolor="gray" stroked="f"/>
        </w:pict>
      </w:r>
    </w:p>
    <w:p w14:paraId="359DB444" w14:textId="77777777" w:rsidR="00882ED7" w:rsidRDefault="00882ED7" w:rsidP="00882ED7">
      <w:pPr>
        <w:pStyle w:val="line862"/>
        <w:numPr>
          <w:ilvl w:val="0"/>
          <w:numId w:val="38"/>
        </w:numPr>
      </w:pPr>
      <w:r>
        <w:t>ETM Video Camera Mirror Mount (</w:t>
      </w:r>
      <w:hyperlink r:id="rId133" w:history="1">
        <w:r>
          <w:rPr>
            <w:rStyle w:val="Hyperlink"/>
          </w:rPr>
          <w:t>LIGO-D1200173</w:t>
        </w:r>
      </w:hyperlink>
      <w:r>
        <w:t xml:space="preserve">) (2 required) </w:t>
      </w:r>
    </w:p>
    <w:p w14:paraId="7E19780E" w14:textId="77777777" w:rsidR="00882ED7" w:rsidRDefault="00882ED7" w:rsidP="00882ED7">
      <w:pPr>
        <w:pStyle w:val="line862"/>
        <w:numPr>
          <w:ilvl w:val="0"/>
          <w:numId w:val="38"/>
        </w:numPr>
      </w:pPr>
      <w:r>
        <w:t>Video Camera 6" Mirror Mount (</w:t>
      </w:r>
      <w:hyperlink r:id="rId134" w:history="1">
        <w:r>
          <w:rPr>
            <w:rStyle w:val="Hyperlink"/>
          </w:rPr>
          <w:t>LIGO-D1200176</w:t>
        </w:r>
      </w:hyperlink>
      <w:r>
        <w:t xml:space="preserve">) (4 required) </w:t>
      </w:r>
    </w:p>
    <w:p w14:paraId="321FABBF" w14:textId="77777777" w:rsidR="00882ED7" w:rsidRDefault="00882ED7" w:rsidP="00882ED7">
      <w:pPr>
        <w:numPr>
          <w:ilvl w:val="0"/>
          <w:numId w:val="38"/>
        </w:numPr>
        <w:spacing w:before="100" w:beforeAutospacing="1" w:after="100" w:afterAutospacing="1"/>
        <w:jc w:val="left"/>
      </w:pPr>
      <w:r>
        <w:t xml:space="preserve">Mirror Mount Base (4 required) </w:t>
      </w:r>
    </w:p>
    <w:p w14:paraId="040C7F34" w14:textId="77777777" w:rsidR="00882ED7" w:rsidRDefault="00882ED7" w:rsidP="00882ED7">
      <w:pPr>
        <w:pStyle w:val="line862"/>
        <w:numPr>
          <w:ilvl w:val="0"/>
          <w:numId w:val="38"/>
        </w:numPr>
      </w:pPr>
      <w:r>
        <w:t>Ring Plate Mounting Adapter (</w:t>
      </w:r>
      <w:hyperlink r:id="rId135" w:history="1">
        <w:r>
          <w:rPr>
            <w:rStyle w:val="Hyperlink"/>
          </w:rPr>
          <w:t>LIGO-D1102355</w:t>
        </w:r>
      </w:hyperlink>
      <w:r>
        <w:t xml:space="preserve">) (2 required) </w:t>
      </w:r>
    </w:p>
    <w:p w14:paraId="6E78A5EF" w14:textId="77777777" w:rsidR="00882ED7" w:rsidRDefault="00882ED7" w:rsidP="00882ED7">
      <w:pPr>
        <w:numPr>
          <w:ilvl w:val="0"/>
          <w:numId w:val="38"/>
        </w:numPr>
        <w:spacing w:before="100" w:beforeAutospacing="1" w:after="100" w:afterAutospacing="1"/>
        <w:jc w:val="left"/>
      </w:pPr>
      <w:r>
        <w:t xml:space="preserve">6" Diameter or 4" x 6" Rectangular HR Mirror (4 required) </w:t>
      </w:r>
    </w:p>
    <w:p w14:paraId="2582BCEF" w14:textId="77777777" w:rsidR="00882ED7" w:rsidRDefault="00882ED7" w:rsidP="00882ED7">
      <w:pPr>
        <w:pStyle w:val="Heading4"/>
      </w:pPr>
      <w:bookmarkStart w:id="215" w:name="_Toc321729398"/>
      <w:r>
        <w:t>H2 (2 required)</w:t>
      </w:r>
      <w:bookmarkEnd w:id="215"/>
    </w:p>
    <w:p w14:paraId="2396E116" w14:textId="77777777" w:rsidR="00882ED7" w:rsidRDefault="00882ED7" w:rsidP="00882ED7">
      <w:pPr>
        <w:pStyle w:val="line862"/>
      </w:pPr>
      <w:r>
        <w:t>Main Assembly: H2, Pcal-Cameras Assembly (</w:t>
      </w:r>
      <w:hyperlink r:id="rId136" w:history="1">
        <w:r>
          <w:rPr>
            <w:rStyle w:val="Hyperlink"/>
          </w:rPr>
          <w:t>LIGO-1200179</w:t>
        </w:r>
      </w:hyperlink>
      <w:r>
        <w:t xml:space="preserve">) </w:t>
      </w:r>
    </w:p>
    <w:p w14:paraId="6E45CEAC" w14:textId="77777777" w:rsidR="00882ED7" w:rsidRDefault="00882ED7" w:rsidP="00882ED7">
      <w:pPr>
        <w:pStyle w:val="line862"/>
      </w:pPr>
      <w:r>
        <w:t>Sub-assembly: Bridge Plate Camera Mirror Assembly (</w:t>
      </w:r>
      <w:hyperlink r:id="rId137" w:history="1">
        <w:r>
          <w:rPr>
            <w:rStyle w:val="Hyperlink"/>
          </w:rPr>
          <w:t>LIGO-1200180</w:t>
        </w:r>
      </w:hyperlink>
      <w:r>
        <w:t xml:space="preserve">) </w:t>
      </w:r>
    </w:p>
    <w:p w14:paraId="071699D8" w14:textId="77777777" w:rsidR="00882ED7" w:rsidRDefault="00E57C6B" w:rsidP="00882ED7">
      <w:r>
        <w:lastRenderedPageBreak/>
        <w:pict w14:anchorId="2B876C6D">
          <v:rect id="_x0000_i1030" style="width:0;height:1.5pt" o:hralign="center" o:hrstd="t" o:hr="t" fillcolor="gray" stroked="f"/>
        </w:pict>
      </w:r>
    </w:p>
    <w:p w14:paraId="0918A29A" w14:textId="77777777" w:rsidR="00882ED7" w:rsidRDefault="00882ED7" w:rsidP="00882ED7">
      <w:pPr>
        <w:pStyle w:val="line862"/>
        <w:numPr>
          <w:ilvl w:val="0"/>
          <w:numId w:val="39"/>
        </w:numPr>
      </w:pPr>
      <w:r>
        <w:t>ETM Video Camera Mirror Mount (</w:t>
      </w:r>
      <w:hyperlink r:id="rId138" w:history="1">
        <w:r>
          <w:rPr>
            <w:rStyle w:val="Hyperlink"/>
          </w:rPr>
          <w:t>LIGO-D1200173</w:t>
        </w:r>
      </w:hyperlink>
      <w:r>
        <w:t xml:space="preserve">) (2 required) </w:t>
      </w:r>
    </w:p>
    <w:p w14:paraId="1122AB17" w14:textId="77777777" w:rsidR="00882ED7" w:rsidRDefault="00882ED7" w:rsidP="00882ED7">
      <w:pPr>
        <w:pStyle w:val="line862"/>
        <w:numPr>
          <w:ilvl w:val="0"/>
          <w:numId w:val="39"/>
        </w:numPr>
      </w:pPr>
      <w:r>
        <w:t>Video Camera 6" Mirror Mount (</w:t>
      </w:r>
      <w:hyperlink r:id="rId139" w:history="1">
        <w:r>
          <w:rPr>
            <w:rStyle w:val="Hyperlink"/>
          </w:rPr>
          <w:t>LIGO-D1200176</w:t>
        </w:r>
      </w:hyperlink>
      <w:r>
        <w:t xml:space="preserve">) (4 required) </w:t>
      </w:r>
    </w:p>
    <w:p w14:paraId="7A0A4D38" w14:textId="77777777" w:rsidR="00882ED7" w:rsidRDefault="00882ED7" w:rsidP="00882ED7">
      <w:pPr>
        <w:numPr>
          <w:ilvl w:val="0"/>
          <w:numId w:val="39"/>
        </w:numPr>
        <w:spacing w:before="100" w:beforeAutospacing="1" w:after="100" w:afterAutospacing="1"/>
        <w:jc w:val="left"/>
      </w:pPr>
      <w:r>
        <w:t xml:space="preserve">Mirror Mount Base (4 required) </w:t>
      </w:r>
    </w:p>
    <w:p w14:paraId="78416290" w14:textId="77777777" w:rsidR="00882ED7" w:rsidRDefault="00882ED7" w:rsidP="00882ED7">
      <w:pPr>
        <w:pStyle w:val="line862"/>
        <w:numPr>
          <w:ilvl w:val="0"/>
          <w:numId w:val="39"/>
        </w:numPr>
      </w:pPr>
      <w:r>
        <w:t>Ring Plate Mounting Adapter (</w:t>
      </w:r>
      <w:hyperlink r:id="rId140" w:history="1">
        <w:r>
          <w:rPr>
            <w:rStyle w:val="Hyperlink"/>
          </w:rPr>
          <w:t>LIGO-D1102355</w:t>
        </w:r>
      </w:hyperlink>
      <w:r>
        <w:t xml:space="preserve">) (2 required) </w:t>
      </w:r>
    </w:p>
    <w:p w14:paraId="7F6F2D03" w14:textId="77777777" w:rsidR="00882ED7" w:rsidRDefault="00882ED7" w:rsidP="00882ED7">
      <w:pPr>
        <w:numPr>
          <w:ilvl w:val="0"/>
          <w:numId w:val="39"/>
        </w:numPr>
        <w:spacing w:before="100" w:beforeAutospacing="1" w:after="100" w:afterAutospacing="1"/>
        <w:jc w:val="left"/>
      </w:pPr>
      <w:r>
        <w:t xml:space="preserve">6" Diameter or 4" x 6" Rectangular HR Mirror (4 required) </w:t>
      </w:r>
    </w:p>
    <w:p w14:paraId="41463826" w14:textId="008DF591" w:rsidR="00680A65" w:rsidRDefault="00680A65" w:rsidP="00882ED7">
      <w:pPr>
        <w:jc w:val="left"/>
      </w:pPr>
    </w:p>
    <w:sectPr w:rsidR="00680A65">
      <w:headerReference w:type="default" r:id="rId141"/>
      <w:footerReference w:type="even" r:id="rId142"/>
      <w:footerReference w:type="default" r:id="rId143"/>
      <w:headerReference w:type="first" r:id="rId144"/>
      <w:endnotePr>
        <w:numFmt w:val="decimal"/>
      </w:endnotePr>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B6610" w14:textId="77777777" w:rsidR="001F790B" w:rsidRDefault="001F790B">
      <w:r>
        <w:separator/>
      </w:r>
    </w:p>
  </w:endnote>
  <w:endnote w:type="continuationSeparator" w:id="0">
    <w:p w14:paraId="5BD288BF" w14:textId="77777777" w:rsidR="001F790B" w:rsidRDefault="001F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C9BBC" w14:textId="77777777" w:rsidR="00353619" w:rsidRDefault="003536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EF54D5" w14:textId="77777777" w:rsidR="00353619" w:rsidRDefault="003536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C94F2" w14:textId="77777777" w:rsidR="00353619" w:rsidRDefault="00353619">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57C6B">
      <w:rPr>
        <w:rStyle w:val="PageNumber"/>
        <w:noProof/>
      </w:rPr>
      <w:t>3</w:t>
    </w:r>
    <w:r>
      <w:rPr>
        <w:rStyle w:val="PageNumber"/>
      </w:rPr>
      <w:fldChar w:fldCharType="end"/>
    </w:r>
  </w:p>
  <w:p w14:paraId="040ABC38" w14:textId="77777777" w:rsidR="00353619" w:rsidRDefault="003536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EFB80" w14:textId="77777777" w:rsidR="001F790B" w:rsidRDefault="001F790B">
      <w:r>
        <w:separator/>
      </w:r>
    </w:p>
  </w:footnote>
  <w:footnote w:type="continuationSeparator" w:id="0">
    <w:p w14:paraId="217889AE" w14:textId="77777777" w:rsidR="001F790B" w:rsidRDefault="001F790B">
      <w:r>
        <w:continuationSeparator/>
      </w:r>
    </w:p>
  </w:footnote>
  <w:footnote w:id="1">
    <w:p w14:paraId="35E40CBE" w14:textId="77777777" w:rsidR="00353619" w:rsidRDefault="00353619" w:rsidP="00990E52">
      <w:pPr>
        <w:pStyle w:val="FootnoteText"/>
      </w:pPr>
      <w:r>
        <w:rPr>
          <w:rStyle w:val="FootnoteReference"/>
        </w:rPr>
        <w:footnoteRef/>
      </w:r>
      <w:r>
        <w:t xml:space="preserve"> NIST defines traceability as “T</w:t>
      </w:r>
      <w:r w:rsidRPr="000B09C2">
        <w:t xml:space="preserve">he property of the result of a measurement or the value of a standard whereby it can be related to stated references, usually national or international standards, through an unbroken chain of comparisons, </w:t>
      </w:r>
      <w:r>
        <w:t xml:space="preserve">all having stated uncertainties” </w:t>
      </w:r>
      <w:r w:rsidRPr="003F3033">
        <w:t>(</w:t>
      </w:r>
      <w:hyperlink r:id="rId1" w:history="1">
        <w:r w:rsidRPr="00C1692A">
          <w:rPr>
            <w:rStyle w:val="Hyperlink"/>
          </w:rPr>
          <w:t>http://ts.nist.gov/Traceability/supplmatls/suppl_matls_for_nist_policy_rev.cfm</w:t>
        </w:r>
      </w:hyperlink>
      <w:r w:rsidRPr="003F3033">
        <w:t>).</w:t>
      </w:r>
    </w:p>
  </w:footnote>
  <w:footnote w:id="2">
    <w:p w14:paraId="08C9A50D" w14:textId="359D5A12" w:rsidR="00353619" w:rsidRDefault="00353619" w:rsidP="00053EA3">
      <w:pPr>
        <w:pStyle w:val="FootnoteText"/>
      </w:pPr>
      <w:r>
        <w:rPr>
          <w:rStyle w:val="FootnoteReference"/>
        </w:rPr>
        <w:footnoteRef/>
      </w:r>
      <w:r>
        <w:t xml:space="preserve"> </w:t>
      </w:r>
      <w:hyperlink r:id="rId2" w:history="1">
        <w:r w:rsidRPr="00C470F5">
          <w:rPr>
            <w:rStyle w:val="Hyperlink"/>
          </w:rPr>
          <w:t xml:space="preserve">LIGO-T1000637 </w:t>
        </w:r>
      </w:hyperlink>
    </w:p>
  </w:footnote>
  <w:footnote w:id="3">
    <w:p w14:paraId="611056F4" w14:textId="77777777" w:rsidR="00353619" w:rsidRDefault="00353619" w:rsidP="00F06C4B">
      <w:pPr>
        <w:pStyle w:val="FootnoteText"/>
        <w:jc w:val="left"/>
      </w:pPr>
      <w:r>
        <w:rPr>
          <w:rStyle w:val="FootnoteReference"/>
        </w:rPr>
        <w:footnoteRef/>
      </w:r>
      <w:r>
        <w:t xml:space="preserve"> Calibration SVN: </w:t>
      </w:r>
      <w:hyperlink r:id="rId3" w:history="1">
        <w:r w:rsidRPr="003C306A">
          <w:rPr>
            <w:rStyle w:val="Hyperlink"/>
          </w:rPr>
          <w:t>https://svn.ligo.caltech.edu/svn/calibration/trunk/calibration/frequencydomain/runs/S6/PhotonCalibrator/measurements/aLIGOstudies/rpnStudies/sensitivity.m</w:t>
        </w:r>
      </w:hyperlink>
    </w:p>
    <w:p w14:paraId="4AE4AA47" w14:textId="77777777" w:rsidR="00353619" w:rsidRDefault="00353619" w:rsidP="00F06C4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246B9" w14:textId="6AD12B36" w:rsidR="00353619" w:rsidRDefault="00353619" w:rsidP="00573683">
    <w:pPr>
      <w:pStyle w:val="Header"/>
      <w:tabs>
        <w:tab w:val="clear" w:pos="4320"/>
        <w:tab w:val="center" w:pos="4680"/>
      </w:tabs>
      <w:jc w:val="left"/>
      <w:rPr>
        <w:sz w:val="20"/>
      </w:rPr>
    </w:pPr>
    <w:r>
      <w:rPr>
        <w:b/>
        <w:bCs/>
        <w:i/>
        <w:iCs/>
        <w:color w:val="0000FF"/>
        <w:sz w:val="20"/>
      </w:rPr>
      <w:t>Advanced LIGO</w:t>
    </w:r>
    <w:r>
      <w:rPr>
        <w:sz w:val="20"/>
      </w:rPr>
      <w:tab/>
      <w:t>LIGO-T1100068-v17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0F2F" w14:textId="77777777" w:rsidR="00353619" w:rsidRDefault="00353619">
    <w:pPr>
      <w:pStyle w:val="Header"/>
      <w:jc w:val="right"/>
    </w:pPr>
    <w:r>
      <w:rPr>
        <w:b/>
        <w:caps/>
      </w:rPr>
      <w:t>Laser Interferometer Gravitational Wave Observatory</w:t>
    </w:r>
    <w:r>
      <w:rPr>
        <w:noProof/>
        <w:sz w:val="20"/>
      </w:rPr>
      <w:t xml:space="preserve"> </w:t>
    </w:r>
    <w:r w:rsidR="00E57C6B">
      <w:rPr>
        <w:noProof/>
        <w:sz w:val="20"/>
      </w:rPr>
      <w:pict w14:anchorId="5B48A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4C509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524C9D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A94A6D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CA2ED8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414EBC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D406FB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534FA8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51DA3"/>
    <w:multiLevelType w:val="hybridMultilevel"/>
    <w:tmpl w:val="7386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nsid w:val="0390679B"/>
    <w:multiLevelType w:val="multilevel"/>
    <w:tmpl w:val="04F68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E263E9"/>
    <w:multiLevelType w:val="hybridMultilevel"/>
    <w:tmpl w:val="7B1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64344"/>
    <w:multiLevelType w:val="hybridMultilevel"/>
    <w:tmpl w:val="8DD25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EC74D0"/>
    <w:multiLevelType w:val="hybridMultilevel"/>
    <w:tmpl w:val="00D65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45307"/>
    <w:multiLevelType w:val="hybridMultilevel"/>
    <w:tmpl w:val="125A6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F06385"/>
    <w:multiLevelType w:val="hybridMultilevel"/>
    <w:tmpl w:val="57BC1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B317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BAA57B3"/>
    <w:multiLevelType w:val="multilevel"/>
    <w:tmpl w:val="56B4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765EA4"/>
    <w:multiLevelType w:val="hybridMultilevel"/>
    <w:tmpl w:val="0B7CD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606864"/>
    <w:multiLevelType w:val="hybridMultilevel"/>
    <w:tmpl w:val="2CD8B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C94B76"/>
    <w:multiLevelType w:val="hybridMultilevel"/>
    <w:tmpl w:val="72EC3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2D10BF"/>
    <w:multiLevelType w:val="hybridMultilevel"/>
    <w:tmpl w:val="2D80E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99235C"/>
    <w:multiLevelType w:val="multilevel"/>
    <w:tmpl w:val="9410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413A61"/>
    <w:multiLevelType w:val="hybridMultilevel"/>
    <w:tmpl w:val="D0F6F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00F04"/>
    <w:multiLevelType w:val="hybridMultilevel"/>
    <w:tmpl w:val="8BA23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FC549B"/>
    <w:multiLevelType w:val="multilevel"/>
    <w:tmpl w:val="EBB04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6D74CE"/>
    <w:multiLevelType w:val="hybridMultilevel"/>
    <w:tmpl w:val="A12C8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567D24"/>
    <w:multiLevelType w:val="multilevel"/>
    <w:tmpl w:val="48AC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AD5E29"/>
    <w:multiLevelType w:val="multilevel"/>
    <w:tmpl w:val="4594D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8361BC"/>
    <w:multiLevelType w:val="hybridMultilevel"/>
    <w:tmpl w:val="7376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BB6065"/>
    <w:multiLevelType w:val="multilevel"/>
    <w:tmpl w:val="9E5A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DF0F7A"/>
    <w:multiLevelType w:val="hybridMultilevel"/>
    <w:tmpl w:val="D1040380"/>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4">
    <w:nsid w:val="76B25AEE"/>
    <w:multiLevelType w:val="hybridMultilevel"/>
    <w:tmpl w:val="6308A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5E29DF"/>
    <w:multiLevelType w:val="hybridMultilevel"/>
    <w:tmpl w:val="2C008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F2BD7"/>
    <w:multiLevelType w:val="hybridMultilevel"/>
    <w:tmpl w:val="38D0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6C1260"/>
    <w:multiLevelType w:val="hybridMultilevel"/>
    <w:tmpl w:val="40765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433082"/>
    <w:multiLevelType w:val="multilevel"/>
    <w:tmpl w:val="6394B61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8"/>
  </w:num>
  <w:num w:numId="2">
    <w:abstractNumId w:val="3"/>
  </w:num>
  <w:num w:numId="3">
    <w:abstractNumId w:val="9"/>
  </w:num>
  <w:num w:numId="4">
    <w:abstractNumId w:val="38"/>
  </w:num>
  <w:num w:numId="5">
    <w:abstractNumId w:val="33"/>
  </w:num>
  <w:num w:numId="6">
    <w:abstractNumId w:val="10"/>
  </w:num>
  <w:num w:numId="7">
    <w:abstractNumId w:val="31"/>
  </w:num>
  <w:num w:numId="8">
    <w:abstractNumId w:val="37"/>
  </w:num>
  <w:num w:numId="9">
    <w:abstractNumId w:val="34"/>
  </w:num>
  <w:num w:numId="10">
    <w:abstractNumId w:val="23"/>
  </w:num>
  <w:num w:numId="11">
    <w:abstractNumId w:val="35"/>
  </w:num>
  <w:num w:numId="12">
    <w:abstractNumId w:val="21"/>
  </w:num>
  <w:num w:numId="13">
    <w:abstractNumId w:val="22"/>
  </w:num>
  <w:num w:numId="14">
    <w:abstractNumId w:val="17"/>
  </w:num>
  <w:num w:numId="15">
    <w:abstractNumId w:val="36"/>
  </w:num>
  <w:num w:numId="16">
    <w:abstractNumId w:val="20"/>
  </w:num>
  <w:num w:numId="17">
    <w:abstractNumId w:val="7"/>
  </w:num>
  <w:num w:numId="18">
    <w:abstractNumId w:val="6"/>
  </w:num>
  <w:num w:numId="19">
    <w:abstractNumId w:val="5"/>
  </w:num>
  <w:num w:numId="20">
    <w:abstractNumId w:val="4"/>
  </w:num>
  <w:num w:numId="21">
    <w:abstractNumId w:val="2"/>
  </w:num>
  <w:num w:numId="22">
    <w:abstractNumId w:val="1"/>
  </w:num>
  <w:num w:numId="23">
    <w:abstractNumId w:val="0"/>
  </w:num>
  <w:num w:numId="24">
    <w:abstractNumId w:val="16"/>
  </w:num>
  <w:num w:numId="25">
    <w:abstractNumId w:val="18"/>
  </w:num>
  <w:num w:numId="26">
    <w:abstractNumId w:val="15"/>
  </w:num>
  <w:num w:numId="27">
    <w:abstractNumId w:val="26"/>
  </w:num>
  <w:num w:numId="28">
    <w:abstractNumId w:val="13"/>
  </w:num>
  <w:num w:numId="29">
    <w:abstractNumId w:val="11"/>
  </w:num>
  <w:num w:numId="30">
    <w:abstractNumId w:val="14"/>
  </w:num>
  <w:num w:numId="31">
    <w:abstractNumId w:val="25"/>
  </w:num>
  <w:num w:numId="32">
    <w:abstractNumId w:val="28"/>
  </w:num>
  <w:num w:numId="33">
    <w:abstractNumId w:val="29"/>
  </w:num>
  <w:num w:numId="34">
    <w:abstractNumId w:val="32"/>
  </w:num>
  <w:num w:numId="35">
    <w:abstractNumId w:val="19"/>
  </w:num>
  <w:num w:numId="36">
    <w:abstractNumId w:val="24"/>
  </w:num>
  <w:num w:numId="37">
    <w:abstractNumId w:val="30"/>
  </w:num>
  <w:num w:numId="38">
    <w:abstractNumId w:val="27"/>
  </w:num>
  <w:num w:numId="3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181E"/>
    <w:rsid w:val="000025AC"/>
    <w:rsid w:val="000041ED"/>
    <w:rsid w:val="00005B8D"/>
    <w:rsid w:val="00005D44"/>
    <w:rsid w:val="00006774"/>
    <w:rsid w:val="00010EAF"/>
    <w:rsid w:val="00011132"/>
    <w:rsid w:val="00011B18"/>
    <w:rsid w:val="00011B39"/>
    <w:rsid w:val="00014324"/>
    <w:rsid w:val="000145DC"/>
    <w:rsid w:val="00015145"/>
    <w:rsid w:val="00016353"/>
    <w:rsid w:val="000168E1"/>
    <w:rsid w:val="00016EA0"/>
    <w:rsid w:val="00016F6E"/>
    <w:rsid w:val="00023C71"/>
    <w:rsid w:val="0002421D"/>
    <w:rsid w:val="000253AF"/>
    <w:rsid w:val="00027595"/>
    <w:rsid w:val="00031132"/>
    <w:rsid w:val="00032206"/>
    <w:rsid w:val="00032972"/>
    <w:rsid w:val="00033F27"/>
    <w:rsid w:val="0003418D"/>
    <w:rsid w:val="000350A3"/>
    <w:rsid w:val="00041058"/>
    <w:rsid w:val="000421BF"/>
    <w:rsid w:val="00042F94"/>
    <w:rsid w:val="000465D9"/>
    <w:rsid w:val="000467EA"/>
    <w:rsid w:val="00046F00"/>
    <w:rsid w:val="00047737"/>
    <w:rsid w:val="00050A3E"/>
    <w:rsid w:val="00051A57"/>
    <w:rsid w:val="000537BB"/>
    <w:rsid w:val="00053C03"/>
    <w:rsid w:val="00053EA3"/>
    <w:rsid w:val="0005469D"/>
    <w:rsid w:val="000564F0"/>
    <w:rsid w:val="0006009E"/>
    <w:rsid w:val="0006033C"/>
    <w:rsid w:val="00060808"/>
    <w:rsid w:val="00060EC5"/>
    <w:rsid w:val="00063554"/>
    <w:rsid w:val="000638F0"/>
    <w:rsid w:val="00063DD1"/>
    <w:rsid w:val="000724CA"/>
    <w:rsid w:val="000745A1"/>
    <w:rsid w:val="00076D03"/>
    <w:rsid w:val="00077242"/>
    <w:rsid w:val="0008339E"/>
    <w:rsid w:val="000836D8"/>
    <w:rsid w:val="00084A5D"/>
    <w:rsid w:val="000852DF"/>
    <w:rsid w:val="000855C5"/>
    <w:rsid w:val="0008659F"/>
    <w:rsid w:val="0009003B"/>
    <w:rsid w:val="000920C4"/>
    <w:rsid w:val="00096B3A"/>
    <w:rsid w:val="00097EB6"/>
    <w:rsid w:val="000A0B13"/>
    <w:rsid w:val="000A1909"/>
    <w:rsid w:val="000A1FAF"/>
    <w:rsid w:val="000A2E5D"/>
    <w:rsid w:val="000A30AF"/>
    <w:rsid w:val="000A4468"/>
    <w:rsid w:val="000A47E8"/>
    <w:rsid w:val="000A5504"/>
    <w:rsid w:val="000A5610"/>
    <w:rsid w:val="000A6E8A"/>
    <w:rsid w:val="000A7C95"/>
    <w:rsid w:val="000B09C2"/>
    <w:rsid w:val="000B0C80"/>
    <w:rsid w:val="000B194D"/>
    <w:rsid w:val="000B1D18"/>
    <w:rsid w:val="000B291C"/>
    <w:rsid w:val="000B39A1"/>
    <w:rsid w:val="000B3FA4"/>
    <w:rsid w:val="000B406E"/>
    <w:rsid w:val="000B69D7"/>
    <w:rsid w:val="000B7285"/>
    <w:rsid w:val="000B7B8D"/>
    <w:rsid w:val="000B7D14"/>
    <w:rsid w:val="000B7F02"/>
    <w:rsid w:val="000C0D58"/>
    <w:rsid w:val="000C20BB"/>
    <w:rsid w:val="000C2C8A"/>
    <w:rsid w:val="000C52A1"/>
    <w:rsid w:val="000C5B98"/>
    <w:rsid w:val="000C7B52"/>
    <w:rsid w:val="000D03A2"/>
    <w:rsid w:val="000D3312"/>
    <w:rsid w:val="000D5829"/>
    <w:rsid w:val="000D6B51"/>
    <w:rsid w:val="000D6B6E"/>
    <w:rsid w:val="000E2B9A"/>
    <w:rsid w:val="000E3079"/>
    <w:rsid w:val="000E3273"/>
    <w:rsid w:val="000E38DF"/>
    <w:rsid w:val="000E4DD6"/>
    <w:rsid w:val="000E5CCA"/>
    <w:rsid w:val="000E61D4"/>
    <w:rsid w:val="000E629E"/>
    <w:rsid w:val="000E62B7"/>
    <w:rsid w:val="000E6665"/>
    <w:rsid w:val="000E7B4C"/>
    <w:rsid w:val="000E7C67"/>
    <w:rsid w:val="000F39D3"/>
    <w:rsid w:val="000F6D92"/>
    <w:rsid w:val="000F7323"/>
    <w:rsid w:val="0010241E"/>
    <w:rsid w:val="00104244"/>
    <w:rsid w:val="00104327"/>
    <w:rsid w:val="00104997"/>
    <w:rsid w:val="0010534B"/>
    <w:rsid w:val="00105751"/>
    <w:rsid w:val="001076C5"/>
    <w:rsid w:val="0011051F"/>
    <w:rsid w:val="001115DD"/>
    <w:rsid w:val="001120B0"/>
    <w:rsid w:val="0011236E"/>
    <w:rsid w:val="00113FA8"/>
    <w:rsid w:val="00114D01"/>
    <w:rsid w:val="001164CC"/>
    <w:rsid w:val="00116634"/>
    <w:rsid w:val="001171A1"/>
    <w:rsid w:val="0012003C"/>
    <w:rsid w:val="001201E2"/>
    <w:rsid w:val="00124809"/>
    <w:rsid w:val="00125759"/>
    <w:rsid w:val="001261C5"/>
    <w:rsid w:val="00126CD3"/>
    <w:rsid w:val="00131E64"/>
    <w:rsid w:val="001336AF"/>
    <w:rsid w:val="00133B56"/>
    <w:rsid w:val="00134C9D"/>
    <w:rsid w:val="00137F02"/>
    <w:rsid w:val="001407E4"/>
    <w:rsid w:val="00141030"/>
    <w:rsid w:val="00141215"/>
    <w:rsid w:val="00143321"/>
    <w:rsid w:val="00143A31"/>
    <w:rsid w:val="00143C5E"/>
    <w:rsid w:val="00144687"/>
    <w:rsid w:val="00145687"/>
    <w:rsid w:val="00145B90"/>
    <w:rsid w:val="00146800"/>
    <w:rsid w:val="001473A2"/>
    <w:rsid w:val="001506DC"/>
    <w:rsid w:val="00150906"/>
    <w:rsid w:val="001523CF"/>
    <w:rsid w:val="001533E1"/>
    <w:rsid w:val="00153F48"/>
    <w:rsid w:val="0015598C"/>
    <w:rsid w:val="00160998"/>
    <w:rsid w:val="0016183D"/>
    <w:rsid w:val="00162EDA"/>
    <w:rsid w:val="00163340"/>
    <w:rsid w:val="001635DD"/>
    <w:rsid w:val="001676AD"/>
    <w:rsid w:val="001702FA"/>
    <w:rsid w:val="00170BEA"/>
    <w:rsid w:val="00170C4D"/>
    <w:rsid w:val="00171583"/>
    <w:rsid w:val="001724A2"/>
    <w:rsid w:val="0017420D"/>
    <w:rsid w:val="00175666"/>
    <w:rsid w:val="0017671C"/>
    <w:rsid w:val="001767A9"/>
    <w:rsid w:val="0018024D"/>
    <w:rsid w:val="0018140F"/>
    <w:rsid w:val="00185B0E"/>
    <w:rsid w:val="00185B4A"/>
    <w:rsid w:val="00186705"/>
    <w:rsid w:val="00186B0B"/>
    <w:rsid w:val="00187574"/>
    <w:rsid w:val="0018761F"/>
    <w:rsid w:val="00187F44"/>
    <w:rsid w:val="001913C9"/>
    <w:rsid w:val="00191BBC"/>
    <w:rsid w:val="001920AB"/>
    <w:rsid w:val="001938B7"/>
    <w:rsid w:val="0019482C"/>
    <w:rsid w:val="0019634E"/>
    <w:rsid w:val="001972EE"/>
    <w:rsid w:val="001A6065"/>
    <w:rsid w:val="001A6159"/>
    <w:rsid w:val="001B0533"/>
    <w:rsid w:val="001B1007"/>
    <w:rsid w:val="001B3413"/>
    <w:rsid w:val="001B3B5D"/>
    <w:rsid w:val="001B5904"/>
    <w:rsid w:val="001B5DE5"/>
    <w:rsid w:val="001B6B2A"/>
    <w:rsid w:val="001B7DAA"/>
    <w:rsid w:val="001C11CC"/>
    <w:rsid w:val="001C1207"/>
    <w:rsid w:val="001C3018"/>
    <w:rsid w:val="001C37A8"/>
    <w:rsid w:val="001C64BF"/>
    <w:rsid w:val="001C7C68"/>
    <w:rsid w:val="001D00D5"/>
    <w:rsid w:val="001D31D1"/>
    <w:rsid w:val="001D4A19"/>
    <w:rsid w:val="001D72D6"/>
    <w:rsid w:val="001E0781"/>
    <w:rsid w:val="001E15A9"/>
    <w:rsid w:val="001E3C1E"/>
    <w:rsid w:val="001E411A"/>
    <w:rsid w:val="001E487A"/>
    <w:rsid w:val="001E60C4"/>
    <w:rsid w:val="001F07A4"/>
    <w:rsid w:val="001F2278"/>
    <w:rsid w:val="001F2BC7"/>
    <w:rsid w:val="001F32AE"/>
    <w:rsid w:val="001F52D7"/>
    <w:rsid w:val="001F790B"/>
    <w:rsid w:val="0020069B"/>
    <w:rsid w:val="002016AB"/>
    <w:rsid w:val="0020192C"/>
    <w:rsid w:val="00203F9E"/>
    <w:rsid w:val="00204108"/>
    <w:rsid w:val="00205E1D"/>
    <w:rsid w:val="00207F7B"/>
    <w:rsid w:val="00210A5F"/>
    <w:rsid w:val="00211182"/>
    <w:rsid w:val="00213BF6"/>
    <w:rsid w:val="00215108"/>
    <w:rsid w:val="0021530D"/>
    <w:rsid w:val="00217C81"/>
    <w:rsid w:val="00220CBB"/>
    <w:rsid w:val="00220EFD"/>
    <w:rsid w:val="00221203"/>
    <w:rsid w:val="00221F92"/>
    <w:rsid w:val="00223DC6"/>
    <w:rsid w:val="00224A52"/>
    <w:rsid w:val="00224EE9"/>
    <w:rsid w:val="0022709C"/>
    <w:rsid w:val="002271DF"/>
    <w:rsid w:val="00227744"/>
    <w:rsid w:val="002277F8"/>
    <w:rsid w:val="00231E81"/>
    <w:rsid w:val="00232F86"/>
    <w:rsid w:val="00234166"/>
    <w:rsid w:val="00240D9C"/>
    <w:rsid w:val="00243BD5"/>
    <w:rsid w:val="00245185"/>
    <w:rsid w:val="0024563D"/>
    <w:rsid w:val="00245F3D"/>
    <w:rsid w:val="002462BD"/>
    <w:rsid w:val="00246325"/>
    <w:rsid w:val="002472D2"/>
    <w:rsid w:val="00250291"/>
    <w:rsid w:val="00251306"/>
    <w:rsid w:val="002532B0"/>
    <w:rsid w:val="002536F5"/>
    <w:rsid w:val="002540CB"/>
    <w:rsid w:val="00254219"/>
    <w:rsid w:val="002542F1"/>
    <w:rsid w:val="00257949"/>
    <w:rsid w:val="00260726"/>
    <w:rsid w:val="00260A00"/>
    <w:rsid w:val="0026327B"/>
    <w:rsid w:val="00264E1A"/>
    <w:rsid w:val="00266600"/>
    <w:rsid w:val="002711DB"/>
    <w:rsid w:val="00272F62"/>
    <w:rsid w:val="00274014"/>
    <w:rsid w:val="00274827"/>
    <w:rsid w:val="002767CF"/>
    <w:rsid w:val="002831FD"/>
    <w:rsid w:val="00283CA1"/>
    <w:rsid w:val="00285F60"/>
    <w:rsid w:val="00286A12"/>
    <w:rsid w:val="002875DF"/>
    <w:rsid w:val="002908E0"/>
    <w:rsid w:val="00290AB9"/>
    <w:rsid w:val="002926CD"/>
    <w:rsid w:val="002933D9"/>
    <w:rsid w:val="002934F4"/>
    <w:rsid w:val="00294B1B"/>
    <w:rsid w:val="00297202"/>
    <w:rsid w:val="00297BF9"/>
    <w:rsid w:val="002A0F40"/>
    <w:rsid w:val="002A139C"/>
    <w:rsid w:val="002A3C56"/>
    <w:rsid w:val="002A5026"/>
    <w:rsid w:val="002A57B5"/>
    <w:rsid w:val="002B1400"/>
    <w:rsid w:val="002B160D"/>
    <w:rsid w:val="002B39F0"/>
    <w:rsid w:val="002B445F"/>
    <w:rsid w:val="002B4925"/>
    <w:rsid w:val="002B6047"/>
    <w:rsid w:val="002B60F4"/>
    <w:rsid w:val="002B664B"/>
    <w:rsid w:val="002B72C8"/>
    <w:rsid w:val="002C0AE5"/>
    <w:rsid w:val="002C108B"/>
    <w:rsid w:val="002C1334"/>
    <w:rsid w:val="002C16DC"/>
    <w:rsid w:val="002C2378"/>
    <w:rsid w:val="002C2E66"/>
    <w:rsid w:val="002C3CB0"/>
    <w:rsid w:val="002C688C"/>
    <w:rsid w:val="002D3AB5"/>
    <w:rsid w:val="002D6EE8"/>
    <w:rsid w:val="002D771D"/>
    <w:rsid w:val="002D7DF0"/>
    <w:rsid w:val="002E1B02"/>
    <w:rsid w:val="002E38A1"/>
    <w:rsid w:val="002F1DDF"/>
    <w:rsid w:val="002F2431"/>
    <w:rsid w:val="002F3502"/>
    <w:rsid w:val="002F393F"/>
    <w:rsid w:val="002F53F5"/>
    <w:rsid w:val="002F5E3A"/>
    <w:rsid w:val="002F6DAA"/>
    <w:rsid w:val="003014AD"/>
    <w:rsid w:val="00301E00"/>
    <w:rsid w:val="00311C62"/>
    <w:rsid w:val="003131D5"/>
    <w:rsid w:val="00313C80"/>
    <w:rsid w:val="00316200"/>
    <w:rsid w:val="00316C54"/>
    <w:rsid w:val="00316E94"/>
    <w:rsid w:val="003174A7"/>
    <w:rsid w:val="00317603"/>
    <w:rsid w:val="00320692"/>
    <w:rsid w:val="00321CCF"/>
    <w:rsid w:val="00321EBC"/>
    <w:rsid w:val="0032739F"/>
    <w:rsid w:val="003278AE"/>
    <w:rsid w:val="00327CA8"/>
    <w:rsid w:val="00330252"/>
    <w:rsid w:val="00332AC2"/>
    <w:rsid w:val="00334859"/>
    <w:rsid w:val="0033536D"/>
    <w:rsid w:val="00336291"/>
    <w:rsid w:val="0033656B"/>
    <w:rsid w:val="00336CA5"/>
    <w:rsid w:val="00337C97"/>
    <w:rsid w:val="00337D0E"/>
    <w:rsid w:val="003409E6"/>
    <w:rsid w:val="00341246"/>
    <w:rsid w:val="00342829"/>
    <w:rsid w:val="00344A0C"/>
    <w:rsid w:val="003454A6"/>
    <w:rsid w:val="00346686"/>
    <w:rsid w:val="00346B80"/>
    <w:rsid w:val="003510F3"/>
    <w:rsid w:val="00351F13"/>
    <w:rsid w:val="0035297D"/>
    <w:rsid w:val="00353619"/>
    <w:rsid w:val="0035445F"/>
    <w:rsid w:val="00357AE0"/>
    <w:rsid w:val="00360409"/>
    <w:rsid w:val="00360B97"/>
    <w:rsid w:val="00361309"/>
    <w:rsid w:val="0036226E"/>
    <w:rsid w:val="003624F1"/>
    <w:rsid w:val="00363BA7"/>
    <w:rsid w:val="00363FCB"/>
    <w:rsid w:val="0036563F"/>
    <w:rsid w:val="003666F1"/>
    <w:rsid w:val="0036674C"/>
    <w:rsid w:val="0036686D"/>
    <w:rsid w:val="0037077F"/>
    <w:rsid w:val="00371D94"/>
    <w:rsid w:val="00372AFA"/>
    <w:rsid w:val="00374004"/>
    <w:rsid w:val="00374006"/>
    <w:rsid w:val="003744F2"/>
    <w:rsid w:val="00376C9D"/>
    <w:rsid w:val="00376E47"/>
    <w:rsid w:val="0037751F"/>
    <w:rsid w:val="00380E7F"/>
    <w:rsid w:val="0038220B"/>
    <w:rsid w:val="0038241E"/>
    <w:rsid w:val="00382A08"/>
    <w:rsid w:val="00382FD1"/>
    <w:rsid w:val="00383B54"/>
    <w:rsid w:val="00383D73"/>
    <w:rsid w:val="003851C5"/>
    <w:rsid w:val="00385748"/>
    <w:rsid w:val="00385EB2"/>
    <w:rsid w:val="0038682E"/>
    <w:rsid w:val="00386C68"/>
    <w:rsid w:val="0039131E"/>
    <w:rsid w:val="003917CC"/>
    <w:rsid w:val="00391D86"/>
    <w:rsid w:val="00393670"/>
    <w:rsid w:val="00393C13"/>
    <w:rsid w:val="003941F4"/>
    <w:rsid w:val="00394947"/>
    <w:rsid w:val="00395465"/>
    <w:rsid w:val="0039566A"/>
    <w:rsid w:val="0039664E"/>
    <w:rsid w:val="00396733"/>
    <w:rsid w:val="003A1443"/>
    <w:rsid w:val="003A3C13"/>
    <w:rsid w:val="003A4C49"/>
    <w:rsid w:val="003B1355"/>
    <w:rsid w:val="003B1FC6"/>
    <w:rsid w:val="003B3E48"/>
    <w:rsid w:val="003B401B"/>
    <w:rsid w:val="003B480A"/>
    <w:rsid w:val="003B4813"/>
    <w:rsid w:val="003B5416"/>
    <w:rsid w:val="003C00CC"/>
    <w:rsid w:val="003C306A"/>
    <w:rsid w:val="003C3F1C"/>
    <w:rsid w:val="003C650B"/>
    <w:rsid w:val="003C65A9"/>
    <w:rsid w:val="003C6DBF"/>
    <w:rsid w:val="003C7B3E"/>
    <w:rsid w:val="003D07DD"/>
    <w:rsid w:val="003D3533"/>
    <w:rsid w:val="003D4F4B"/>
    <w:rsid w:val="003D7AC0"/>
    <w:rsid w:val="003D7BCA"/>
    <w:rsid w:val="003E2BA5"/>
    <w:rsid w:val="003E3456"/>
    <w:rsid w:val="003E5C1A"/>
    <w:rsid w:val="003E6BB3"/>
    <w:rsid w:val="003E7432"/>
    <w:rsid w:val="003E7B88"/>
    <w:rsid w:val="003F1397"/>
    <w:rsid w:val="003F1AB1"/>
    <w:rsid w:val="003F3033"/>
    <w:rsid w:val="003F386E"/>
    <w:rsid w:val="003F40D9"/>
    <w:rsid w:val="003F4CDC"/>
    <w:rsid w:val="003F690B"/>
    <w:rsid w:val="003F7771"/>
    <w:rsid w:val="00401072"/>
    <w:rsid w:val="00401246"/>
    <w:rsid w:val="00401C1B"/>
    <w:rsid w:val="00401FB1"/>
    <w:rsid w:val="004034C6"/>
    <w:rsid w:val="004044E5"/>
    <w:rsid w:val="00404AB3"/>
    <w:rsid w:val="00406E71"/>
    <w:rsid w:val="00411505"/>
    <w:rsid w:val="004119A8"/>
    <w:rsid w:val="00412E40"/>
    <w:rsid w:val="00412F0A"/>
    <w:rsid w:val="00413492"/>
    <w:rsid w:val="004135CD"/>
    <w:rsid w:val="004151CF"/>
    <w:rsid w:val="00416109"/>
    <w:rsid w:val="0041675A"/>
    <w:rsid w:val="004168BA"/>
    <w:rsid w:val="0041733F"/>
    <w:rsid w:val="00420008"/>
    <w:rsid w:val="0042034D"/>
    <w:rsid w:val="004209ED"/>
    <w:rsid w:val="004225BC"/>
    <w:rsid w:val="00422FC7"/>
    <w:rsid w:val="00424917"/>
    <w:rsid w:val="00425687"/>
    <w:rsid w:val="00427674"/>
    <w:rsid w:val="0043175D"/>
    <w:rsid w:val="004356F7"/>
    <w:rsid w:val="00435A4A"/>
    <w:rsid w:val="004369AC"/>
    <w:rsid w:val="00436F21"/>
    <w:rsid w:val="00437715"/>
    <w:rsid w:val="00437EF0"/>
    <w:rsid w:val="00441117"/>
    <w:rsid w:val="004419C9"/>
    <w:rsid w:val="00443CA7"/>
    <w:rsid w:val="00446007"/>
    <w:rsid w:val="00446CE7"/>
    <w:rsid w:val="0044703D"/>
    <w:rsid w:val="0044730D"/>
    <w:rsid w:val="0045307F"/>
    <w:rsid w:val="00453988"/>
    <w:rsid w:val="00461593"/>
    <w:rsid w:val="00462441"/>
    <w:rsid w:val="00463385"/>
    <w:rsid w:val="004645E8"/>
    <w:rsid w:val="00464B38"/>
    <w:rsid w:val="004671AE"/>
    <w:rsid w:val="00467FA1"/>
    <w:rsid w:val="0047029D"/>
    <w:rsid w:val="00470A46"/>
    <w:rsid w:val="004710EA"/>
    <w:rsid w:val="00474F16"/>
    <w:rsid w:val="00475378"/>
    <w:rsid w:val="00477FF3"/>
    <w:rsid w:val="00480015"/>
    <w:rsid w:val="00480847"/>
    <w:rsid w:val="004809F1"/>
    <w:rsid w:val="00481F5E"/>
    <w:rsid w:val="0048209B"/>
    <w:rsid w:val="00482469"/>
    <w:rsid w:val="004901B0"/>
    <w:rsid w:val="004905A4"/>
    <w:rsid w:val="00490961"/>
    <w:rsid w:val="004976A9"/>
    <w:rsid w:val="00497B82"/>
    <w:rsid w:val="004A1758"/>
    <w:rsid w:val="004A2CDC"/>
    <w:rsid w:val="004A5407"/>
    <w:rsid w:val="004A68D5"/>
    <w:rsid w:val="004A71B1"/>
    <w:rsid w:val="004A780D"/>
    <w:rsid w:val="004B1622"/>
    <w:rsid w:val="004B1A85"/>
    <w:rsid w:val="004B30ED"/>
    <w:rsid w:val="004B5805"/>
    <w:rsid w:val="004C1135"/>
    <w:rsid w:val="004C13A8"/>
    <w:rsid w:val="004C4476"/>
    <w:rsid w:val="004C5C83"/>
    <w:rsid w:val="004C6468"/>
    <w:rsid w:val="004C654E"/>
    <w:rsid w:val="004D0B40"/>
    <w:rsid w:val="004D1E19"/>
    <w:rsid w:val="004D25CA"/>
    <w:rsid w:val="004D2B95"/>
    <w:rsid w:val="004D3589"/>
    <w:rsid w:val="004D4118"/>
    <w:rsid w:val="004D4A3A"/>
    <w:rsid w:val="004D6393"/>
    <w:rsid w:val="004D6DEC"/>
    <w:rsid w:val="004D7F5B"/>
    <w:rsid w:val="004E0C93"/>
    <w:rsid w:val="004E1468"/>
    <w:rsid w:val="004E25DA"/>
    <w:rsid w:val="004E2882"/>
    <w:rsid w:val="004E4866"/>
    <w:rsid w:val="004E4C4A"/>
    <w:rsid w:val="004E5C0C"/>
    <w:rsid w:val="004E5C65"/>
    <w:rsid w:val="004F3622"/>
    <w:rsid w:val="004F3C1C"/>
    <w:rsid w:val="004F6287"/>
    <w:rsid w:val="004F6838"/>
    <w:rsid w:val="004F6D4B"/>
    <w:rsid w:val="00500D9A"/>
    <w:rsid w:val="005020B7"/>
    <w:rsid w:val="0050305B"/>
    <w:rsid w:val="0050341A"/>
    <w:rsid w:val="0050536E"/>
    <w:rsid w:val="0050548D"/>
    <w:rsid w:val="00510E3A"/>
    <w:rsid w:val="00511438"/>
    <w:rsid w:val="005114B8"/>
    <w:rsid w:val="00511FA8"/>
    <w:rsid w:val="00512E19"/>
    <w:rsid w:val="00513B90"/>
    <w:rsid w:val="005155A3"/>
    <w:rsid w:val="00515E29"/>
    <w:rsid w:val="005178C7"/>
    <w:rsid w:val="00520165"/>
    <w:rsid w:val="00522704"/>
    <w:rsid w:val="0052270A"/>
    <w:rsid w:val="0052522A"/>
    <w:rsid w:val="005271B8"/>
    <w:rsid w:val="00527E4D"/>
    <w:rsid w:val="00537942"/>
    <w:rsid w:val="00537C0B"/>
    <w:rsid w:val="005403D5"/>
    <w:rsid w:val="005416CA"/>
    <w:rsid w:val="005429CD"/>
    <w:rsid w:val="005432B1"/>
    <w:rsid w:val="0054334E"/>
    <w:rsid w:val="005442FD"/>
    <w:rsid w:val="0054456A"/>
    <w:rsid w:val="005449AA"/>
    <w:rsid w:val="00550EC4"/>
    <w:rsid w:val="00551C6D"/>
    <w:rsid w:val="005528E1"/>
    <w:rsid w:val="00553224"/>
    <w:rsid w:val="0055755A"/>
    <w:rsid w:val="00557B0C"/>
    <w:rsid w:val="00560968"/>
    <w:rsid w:val="005610D8"/>
    <w:rsid w:val="00562215"/>
    <w:rsid w:val="0056286A"/>
    <w:rsid w:val="005643BC"/>
    <w:rsid w:val="005664F4"/>
    <w:rsid w:val="005670C6"/>
    <w:rsid w:val="0056734C"/>
    <w:rsid w:val="00570568"/>
    <w:rsid w:val="005705F1"/>
    <w:rsid w:val="00571BE0"/>
    <w:rsid w:val="00573683"/>
    <w:rsid w:val="00575141"/>
    <w:rsid w:val="00576433"/>
    <w:rsid w:val="005800C2"/>
    <w:rsid w:val="00583249"/>
    <w:rsid w:val="00586CCC"/>
    <w:rsid w:val="00587177"/>
    <w:rsid w:val="00587847"/>
    <w:rsid w:val="005920F1"/>
    <w:rsid w:val="005938B5"/>
    <w:rsid w:val="00593ACA"/>
    <w:rsid w:val="00595B74"/>
    <w:rsid w:val="00596BFF"/>
    <w:rsid w:val="00597CB3"/>
    <w:rsid w:val="005A006E"/>
    <w:rsid w:val="005A0944"/>
    <w:rsid w:val="005A0BE0"/>
    <w:rsid w:val="005A0F86"/>
    <w:rsid w:val="005A2381"/>
    <w:rsid w:val="005A312B"/>
    <w:rsid w:val="005A46C6"/>
    <w:rsid w:val="005A6555"/>
    <w:rsid w:val="005A7852"/>
    <w:rsid w:val="005B075B"/>
    <w:rsid w:val="005B2282"/>
    <w:rsid w:val="005B3A96"/>
    <w:rsid w:val="005B5C79"/>
    <w:rsid w:val="005B63B5"/>
    <w:rsid w:val="005C0912"/>
    <w:rsid w:val="005C0D88"/>
    <w:rsid w:val="005C1DDA"/>
    <w:rsid w:val="005C49CA"/>
    <w:rsid w:val="005C4CAE"/>
    <w:rsid w:val="005C55E5"/>
    <w:rsid w:val="005C5A84"/>
    <w:rsid w:val="005C7AF9"/>
    <w:rsid w:val="005D0B18"/>
    <w:rsid w:val="005D1EEC"/>
    <w:rsid w:val="005D229D"/>
    <w:rsid w:val="005D74D0"/>
    <w:rsid w:val="005D7FF0"/>
    <w:rsid w:val="005E1121"/>
    <w:rsid w:val="005E13FE"/>
    <w:rsid w:val="005E2248"/>
    <w:rsid w:val="005E4749"/>
    <w:rsid w:val="005E59F7"/>
    <w:rsid w:val="005E732A"/>
    <w:rsid w:val="005F089A"/>
    <w:rsid w:val="005F12B9"/>
    <w:rsid w:val="005F17DD"/>
    <w:rsid w:val="005F22B0"/>
    <w:rsid w:val="005F48B2"/>
    <w:rsid w:val="005F4971"/>
    <w:rsid w:val="005F4C63"/>
    <w:rsid w:val="005F5D76"/>
    <w:rsid w:val="005F751F"/>
    <w:rsid w:val="005F7C75"/>
    <w:rsid w:val="00600D0D"/>
    <w:rsid w:val="0060111E"/>
    <w:rsid w:val="00601843"/>
    <w:rsid w:val="00601E62"/>
    <w:rsid w:val="00602243"/>
    <w:rsid w:val="00604184"/>
    <w:rsid w:val="006050D8"/>
    <w:rsid w:val="00613071"/>
    <w:rsid w:val="006131EC"/>
    <w:rsid w:val="006140C8"/>
    <w:rsid w:val="00614C5A"/>
    <w:rsid w:val="00614E9B"/>
    <w:rsid w:val="006173D5"/>
    <w:rsid w:val="00617AA2"/>
    <w:rsid w:val="0062217D"/>
    <w:rsid w:val="00623661"/>
    <w:rsid w:val="006245BC"/>
    <w:rsid w:val="00624BE6"/>
    <w:rsid w:val="00625997"/>
    <w:rsid w:val="006264D1"/>
    <w:rsid w:val="00626686"/>
    <w:rsid w:val="00627CC9"/>
    <w:rsid w:val="00630022"/>
    <w:rsid w:val="006317E9"/>
    <w:rsid w:val="00631922"/>
    <w:rsid w:val="00631BBE"/>
    <w:rsid w:val="006376B8"/>
    <w:rsid w:val="00640284"/>
    <w:rsid w:val="006413F1"/>
    <w:rsid w:val="00642184"/>
    <w:rsid w:val="00643E72"/>
    <w:rsid w:val="00643FDD"/>
    <w:rsid w:val="00646BAA"/>
    <w:rsid w:val="006479EA"/>
    <w:rsid w:val="006510D3"/>
    <w:rsid w:val="00651205"/>
    <w:rsid w:val="00652267"/>
    <w:rsid w:val="00653013"/>
    <w:rsid w:val="00654AA2"/>
    <w:rsid w:val="00654E54"/>
    <w:rsid w:val="00656730"/>
    <w:rsid w:val="0066040A"/>
    <w:rsid w:val="00670897"/>
    <w:rsid w:val="00670BA4"/>
    <w:rsid w:val="00670D78"/>
    <w:rsid w:val="006749A6"/>
    <w:rsid w:val="006762AB"/>
    <w:rsid w:val="00677D4B"/>
    <w:rsid w:val="006804CE"/>
    <w:rsid w:val="00680A65"/>
    <w:rsid w:val="00681A38"/>
    <w:rsid w:val="00682C86"/>
    <w:rsid w:val="00684CB2"/>
    <w:rsid w:val="0068586A"/>
    <w:rsid w:val="00690055"/>
    <w:rsid w:val="0069017A"/>
    <w:rsid w:val="00690855"/>
    <w:rsid w:val="00694902"/>
    <w:rsid w:val="00695034"/>
    <w:rsid w:val="00695FBA"/>
    <w:rsid w:val="006A0943"/>
    <w:rsid w:val="006A0B62"/>
    <w:rsid w:val="006A1C11"/>
    <w:rsid w:val="006A245F"/>
    <w:rsid w:val="006A4564"/>
    <w:rsid w:val="006A4BDC"/>
    <w:rsid w:val="006A5959"/>
    <w:rsid w:val="006A5B24"/>
    <w:rsid w:val="006A7BD7"/>
    <w:rsid w:val="006B17E6"/>
    <w:rsid w:val="006B1ACD"/>
    <w:rsid w:val="006B25AE"/>
    <w:rsid w:val="006B2661"/>
    <w:rsid w:val="006B3185"/>
    <w:rsid w:val="006B373B"/>
    <w:rsid w:val="006B699E"/>
    <w:rsid w:val="006C0CD3"/>
    <w:rsid w:val="006C10FD"/>
    <w:rsid w:val="006C3D4C"/>
    <w:rsid w:val="006C4A95"/>
    <w:rsid w:val="006C5E72"/>
    <w:rsid w:val="006D004E"/>
    <w:rsid w:val="006D01D5"/>
    <w:rsid w:val="006D1763"/>
    <w:rsid w:val="006D3EAE"/>
    <w:rsid w:val="006D69C8"/>
    <w:rsid w:val="006D6C52"/>
    <w:rsid w:val="006D715B"/>
    <w:rsid w:val="006E0441"/>
    <w:rsid w:val="006E07CD"/>
    <w:rsid w:val="006E39E8"/>
    <w:rsid w:val="006E6355"/>
    <w:rsid w:val="006E75B3"/>
    <w:rsid w:val="006F11E9"/>
    <w:rsid w:val="006F25A0"/>
    <w:rsid w:val="006F26A0"/>
    <w:rsid w:val="006F2FE4"/>
    <w:rsid w:val="006F3C63"/>
    <w:rsid w:val="006F5F9F"/>
    <w:rsid w:val="006F6BA6"/>
    <w:rsid w:val="006F6D89"/>
    <w:rsid w:val="0070173E"/>
    <w:rsid w:val="00704C33"/>
    <w:rsid w:val="007051EE"/>
    <w:rsid w:val="00705CAE"/>
    <w:rsid w:val="00715411"/>
    <w:rsid w:val="00715794"/>
    <w:rsid w:val="00715E45"/>
    <w:rsid w:val="0072062A"/>
    <w:rsid w:val="007224DA"/>
    <w:rsid w:val="0072430B"/>
    <w:rsid w:val="00724D02"/>
    <w:rsid w:val="00725A20"/>
    <w:rsid w:val="00726E22"/>
    <w:rsid w:val="00726EA6"/>
    <w:rsid w:val="00727C72"/>
    <w:rsid w:val="00732905"/>
    <w:rsid w:val="00733C46"/>
    <w:rsid w:val="00735625"/>
    <w:rsid w:val="00740D00"/>
    <w:rsid w:val="00742A3B"/>
    <w:rsid w:val="00743098"/>
    <w:rsid w:val="00743761"/>
    <w:rsid w:val="00744649"/>
    <w:rsid w:val="0074523A"/>
    <w:rsid w:val="00746054"/>
    <w:rsid w:val="00746330"/>
    <w:rsid w:val="007471E8"/>
    <w:rsid w:val="00752E1F"/>
    <w:rsid w:val="00753C85"/>
    <w:rsid w:val="00754994"/>
    <w:rsid w:val="00755C8D"/>
    <w:rsid w:val="00756A5B"/>
    <w:rsid w:val="007600EB"/>
    <w:rsid w:val="00760B01"/>
    <w:rsid w:val="0076157B"/>
    <w:rsid w:val="00763128"/>
    <w:rsid w:val="007644D7"/>
    <w:rsid w:val="007654D0"/>
    <w:rsid w:val="00765CFB"/>
    <w:rsid w:val="00766679"/>
    <w:rsid w:val="00767634"/>
    <w:rsid w:val="00767FA6"/>
    <w:rsid w:val="00770579"/>
    <w:rsid w:val="00771EA2"/>
    <w:rsid w:val="00772064"/>
    <w:rsid w:val="0077235F"/>
    <w:rsid w:val="00772E3A"/>
    <w:rsid w:val="00772E6D"/>
    <w:rsid w:val="00773666"/>
    <w:rsid w:val="00774FD2"/>
    <w:rsid w:val="00775CFF"/>
    <w:rsid w:val="00776291"/>
    <w:rsid w:val="00776C3D"/>
    <w:rsid w:val="0078145B"/>
    <w:rsid w:val="00781BE9"/>
    <w:rsid w:val="00781F6D"/>
    <w:rsid w:val="00783F8B"/>
    <w:rsid w:val="007850F9"/>
    <w:rsid w:val="00785C18"/>
    <w:rsid w:val="00791738"/>
    <w:rsid w:val="00791B76"/>
    <w:rsid w:val="0079289F"/>
    <w:rsid w:val="00792EEC"/>
    <w:rsid w:val="0079382A"/>
    <w:rsid w:val="00794387"/>
    <w:rsid w:val="00794B95"/>
    <w:rsid w:val="00794D64"/>
    <w:rsid w:val="0079655B"/>
    <w:rsid w:val="007976EF"/>
    <w:rsid w:val="007A28F8"/>
    <w:rsid w:val="007A2B82"/>
    <w:rsid w:val="007A2EB8"/>
    <w:rsid w:val="007A383A"/>
    <w:rsid w:val="007A4834"/>
    <w:rsid w:val="007A4ED2"/>
    <w:rsid w:val="007A5983"/>
    <w:rsid w:val="007A73AB"/>
    <w:rsid w:val="007B5048"/>
    <w:rsid w:val="007B7209"/>
    <w:rsid w:val="007C04F4"/>
    <w:rsid w:val="007C40BC"/>
    <w:rsid w:val="007C4307"/>
    <w:rsid w:val="007C7C3A"/>
    <w:rsid w:val="007D017E"/>
    <w:rsid w:val="007D0727"/>
    <w:rsid w:val="007D0BF6"/>
    <w:rsid w:val="007D24F1"/>
    <w:rsid w:val="007D2B4A"/>
    <w:rsid w:val="007D2F4B"/>
    <w:rsid w:val="007D37F8"/>
    <w:rsid w:val="007D429F"/>
    <w:rsid w:val="007D514D"/>
    <w:rsid w:val="007D5CD7"/>
    <w:rsid w:val="007D7B6F"/>
    <w:rsid w:val="007E0417"/>
    <w:rsid w:val="007E05C8"/>
    <w:rsid w:val="007E28C1"/>
    <w:rsid w:val="007E3DC5"/>
    <w:rsid w:val="007E4080"/>
    <w:rsid w:val="007E631D"/>
    <w:rsid w:val="007E78E1"/>
    <w:rsid w:val="007F0AF4"/>
    <w:rsid w:val="007F3F90"/>
    <w:rsid w:val="007F4D07"/>
    <w:rsid w:val="007F6098"/>
    <w:rsid w:val="007F69CF"/>
    <w:rsid w:val="007F6AD4"/>
    <w:rsid w:val="007F71CC"/>
    <w:rsid w:val="00800E29"/>
    <w:rsid w:val="00801CB2"/>
    <w:rsid w:val="00801DC2"/>
    <w:rsid w:val="0080351F"/>
    <w:rsid w:val="00803A84"/>
    <w:rsid w:val="008063D6"/>
    <w:rsid w:val="0081044C"/>
    <w:rsid w:val="00810F0E"/>
    <w:rsid w:val="008114B4"/>
    <w:rsid w:val="00813D2B"/>
    <w:rsid w:val="00814643"/>
    <w:rsid w:val="00814CF1"/>
    <w:rsid w:val="00820738"/>
    <w:rsid w:val="00822772"/>
    <w:rsid w:val="0082445C"/>
    <w:rsid w:val="00824660"/>
    <w:rsid w:val="008251B8"/>
    <w:rsid w:val="00825E8C"/>
    <w:rsid w:val="008266F6"/>
    <w:rsid w:val="00826F4A"/>
    <w:rsid w:val="00827F05"/>
    <w:rsid w:val="008301B3"/>
    <w:rsid w:val="0083079B"/>
    <w:rsid w:val="00832753"/>
    <w:rsid w:val="00832EC7"/>
    <w:rsid w:val="00833753"/>
    <w:rsid w:val="008337FC"/>
    <w:rsid w:val="008356AA"/>
    <w:rsid w:val="00837FA5"/>
    <w:rsid w:val="00842D7E"/>
    <w:rsid w:val="008505E7"/>
    <w:rsid w:val="00852EF1"/>
    <w:rsid w:val="00853736"/>
    <w:rsid w:val="0085608E"/>
    <w:rsid w:val="0086027E"/>
    <w:rsid w:val="00860421"/>
    <w:rsid w:val="008610EF"/>
    <w:rsid w:val="008626F0"/>
    <w:rsid w:val="008627BC"/>
    <w:rsid w:val="00864539"/>
    <w:rsid w:val="008668CD"/>
    <w:rsid w:val="00866A94"/>
    <w:rsid w:val="008678BC"/>
    <w:rsid w:val="0087046E"/>
    <w:rsid w:val="00870B06"/>
    <w:rsid w:val="00871213"/>
    <w:rsid w:val="00871675"/>
    <w:rsid w:val="0087254A"/>
    <w:rsid w:val="008749C2"/>
    <w:rsid w:val="00874AF0"/>
    <w:rsid w:val="00874BBB"/>
    <w:rsid w:val="00875D58"/>
    <w:rsid w:val="00876AA6"/>
    <w:rsid w:val="00876FA1"/>
    <w:rsid w:val="00882ED7"/>
    <w:rsid w:val="0088344E"/>
    <w:rsid w:val="00884322"/>
    <w:rsid w:val="00890BEF"/>
    <w:rsid w:val="00891595"/>
    <w:rsid w:val="00895D4D"/>
    <w:rsid w:val="00895EEA"/>
    <w:rsid w:val="008A5680"/>
    <w:rsid w:val="008A56E1"/>
    <w:rsid w:val="008A76F2"/>
    <w:rsid w:val="008A775C"/>
    <w:rsid w:val="008B1A23"/>
    <w:rsid w:val="008B2A5C"/>
    <w:rsid w:val="008B389E"/>
    <w:rsid w:val="008B4DFE"/>
    <w:rsid w:val="008B5FB7"/>
    <w:rsid w:val="008B6A75"/>
    <w:rsid w:val="008B74E5"/>
    <w:rsid w:val="008B7605"/>
    <w:rsid w:val="008C1EDF"/>
    <w:rsid w:val="008C64A9"/>
    <w:rsid w:val="008C6C44"/>
    <w:rsid w:val="008C79D8"/>
    <w:rsid w:val="008D0D4D"/>
    <w:rsid w:val="008D30F8"/>
    <w:rsid w:val="008D3586"/>
    <w:rsid w:val="008D3837"/>
    <w:rsid w:val="008D383B"/>
    <w:rsid w:val="008D4A9A"/>
    <w:rsid w:val="008D4DC1"/>
    <w:rsid w:val="008D4E69"/>
    <w:rsid w:val="008D53B9"/>
    <w:rsid w:val="008D5648"/>
    <w:rsid w:val="008E0180"/>
    <w:rsid w:val="008E0606"/>
    <w:rsid w:val="008E087F"/>
    <w:rsid w:val="008E08B3"/>
    <w:rsid w:val="008E118C"/>
    <w:rsid w:val="008E2F6E"/>
    <w:rsid w:val="008E6016"/>
    <w:rsid w:val="008E6539"/>
    <w:rsid w:val="008E68D5"/>
    <w:rsid w:val="008F0E14"/>
    <w:rsid w:val="008F13E8"/>
    <w:rsid w:val="008F6971"/>
    <w:rsid w:val="008F6A49"/>
    <w:rsid w:val="008F73B8"/>
    <w:rsid w:val="00900F4B"/>
    <w:rsid w:val="009022BF"/>
    <w:rsid w:val="009023CA"/>
    <w:rsid w:val="00902F47"/>
    <w:rsid w:val="009053CF"/>
    <w:rsid w:val="009064AC"/>
    <w:rsid w:val="0091041D"/>
    <w:rsid w:val="00910ABA"/>
    <w:rsid w:val="009139D0"/>
    <w:rsid w:val="0091676D"/>
    <w:rsid w:val="009168CF"/>
    <w:rsid w:val="00916FFE"/>
    <w:rsid w:val="00921F33"/>
    <w:rsid w:val="00922207"/>
    <w:rsid w:val="0092419C"/>
    <w:rsid w:val="00924A85"/>
    <w:rsid w:val="00925DFB"/>
    <w:rsid w:val="009262D4"/>
    <w:rsid w:val="009300A8"/>
    <w:rsid w:val="00930772"/>
    <w:rsid w:val="00930DFE"/>
    <w:rsid w:val="009334A8"/>
    <w:rsid w:val="0093700A"/>
    <w:rsid w:val="00941D2A"/>
    <w:rsid w:val="009428C1"/>
    <w:rsid w:val="009429DD"/>
    <w:rsid w:val="009468F4"/>
    <w:rsid w:val="00953EEE"/>
    <w:rsid w:val="009554A9"/>
    <w:rsid w:val="00957BDD"/>
    <w:rsid w:val="0096024B"/>
    <w:rsid w:val="00961A8C"/>
    <w:rsid w:val="00965D91"/>
    <w:rsid w:val="009663CE"/>
    <w:rsid w:val="009666C8"/>
    <w:rsid w:val="00966B5C"/>
    <w:rsid w:val="00967C8A"/>
    <w:rsid w:val="009704C9"/>
    <w:rsid w:val="00970530"/>
    <w:rsid w:val="00970F73"/>
    <w:rsid w:val="00970FFE"/>
    <w:rsid w:val="0097410E"/>
    <w:rsid w:val="00974474"/>
    <w:rsid w:val="0097470D"/>
    <w:rsid w:val="00976023"/>
    <w:rsid w:val="00980574"/>
    <w:rsid w:val="009810A0"/>
    <w:rsid w:val="00982B56"/>
    <w:rsid w:val="00985ADA"/>
    <w:rsid w:val="00986956"/>
    <w:rsid w:val="00986D64"/>
    <w:rsid w:val="00990E52"/>
    <w:rsid w:val="0099128E"/>
    <w:rsid w:val="009915DE"/>
    <w:rsid w:val="00991FFF"/>
    <w:rsid w:val="00992728"/>
    <w:rsid w:val="00994D86"/>
    <w:rsid w:val="0099774C"/>
    <w:rsid w:val="009A04C8"/>
    <w:rsid w:val="009A199B"/>
    <w:rsid w:val="009A2A63"/>
    <w:rsid w:val="009A3015"/>
    <w:rsid w:val="009A430C"/>
    <w:rsid w:val="009B11A9"/>
    <w:rsid w:val="009B1CEC"/>
    <w:rsid w:val="009B3565"/>
    <w:rsid w:val="009C0CC8"/>
    <w:rsid w:val="009C2F53"/>
    <w:rsid w:val="009C4795"/>
    <w:rsid w:val="009C4EE6"/>
    <w:rsid w:val="009C6493"/>
    <w:rsid w:val="009C691F"/>
    <w:rsid w:val="009C6C6A"/>
    <w:rsid w:val="009C6D31"/>
    <w:rsid w:val="009C76FB"/>
    <w:rsid w:val="009D1D83"/>
    <w:rsid w:val="009D1FD8"/>
    <w:rsid w:val="009D334D"/>
    <w:rsid w:val="009D6347"/>
    <w:rsid w:val="009D639B"/>
    <w:rsid w:val="009D7EC0"/>
    <w:rsid w:val="009E0ADD"/>
    <w:rsid w:val="009E10BF"/>
    <w:rsid w:val="009E36F8"/>
    <w:rsid w:val="009E423B"/>
    <w:rsid w:val="009E42A0"/>
    <w:rsid w:val="009E46B4"/>
    <w:rsid w:val="009E69CA"/>
    <w:rsid w:val="009E69E9"/>
    <w:rsid w:val="009E7129"/>
    <w:rsid w:val="009F163A"/>
    <w:rsid w:val="009F19F6"/>
    <w:rsid w:val="009F2BCE"/>
    <w:rsid w:val="009F3814"/>
    <w:rsid w:val="009F3C72"/>
    <w:rsid w:val="009F4D70"/>
    <w:rsid w:val="009F527B"/>
    <w:rsid w:val="00A00566"/>
    <w:rsid w:val="00A00D48"/>
    <w:rsid w:val="00A01613"/>
    <w:rsid w:val="00A03B3F"/>
    <w:rsid w:val="00A0508A"/>
    <w:rsid w:val="00A062BD"/>
    <w:rsid w:val="00A10141"/>
    <w:rsid w:val="00A10634"/>
    <w:rsid w:val="00A10A82"/>
    <w:rsid w:val="00A113E3"/>
    <w:rsid w:val="00A11FC0"/>
    <w:rsid w:val="00A13688"/>
    <w:rsid w:val="00A1460E"/>
    <w:rsid w:val="00A155EB"/>
    <w:rsid w:val="00A167D8"/>
    <w:rsid w:val="00A21549"/>
    <w:rsid w:val="00A21E0A"/>
    <w:rsid w:val="00A245C1"/>
    <w:rsid w:val="00A24D4F"/>
    <w:rsid w:val="00A25C3A"/>
    <w:rsid w:val="00A30983"/>
    <w:rsid w:val="00A34698"/>
    <w:rsid w:val="00A3489C"/>
    <w:rsid w:val="00A36330"/>
    <w:rsid w:val="00A40B91"/>
    <w:rsid w:val="00A417FB"/>
    <w:rsid w:val="00A438F0"/>
    <w:rsid w:val="00A45E09"/>
    <w:rsid w:val="00A464CE"/>
    <w:rsid w:val="00A479C8"/>
    <w:rsid w:val="00A47F9F"/>
    <w:rsid w:val="00A521D2"/>
    <w:rsid w:val="00A557E3"/>
    <w:rsid w:val="00A55EB1"/>
    <w:rsid w:val="00A56409"/>
    <w:rsid w:val="00A56DE9"/>
    <w:rsid w:val="00A64D54"/>
    <w:rsid w:val="00A67FB5"/>
    <w:rsid w:val="00A70E5D"/>
    <w:rsid w:val="00A741DF"/>
    <w:rsid w:val="00A75D49"/>
    <w:rsid w:val="00A75F76"/>
    <w:rsid w:val="00A75FEA"/>
    <w:rsid w:val="00A7787C"/>
    <w:rsid w:val="00A802AA"/>
    <w:rsid w:val="00A81974"/>
    <w:rsid w:val="00A81B1F"/>
    <w:rsid w:val="00A832B2"/>
    <w:rsid w:val="00A84077"/>
    <w:rsid w:val="00A84C7A"/>
    <w:rsid w:val="00A85602"/>
    <w:rsid w:val="00A85776"/>
    <w:rsid w:val="00A86383"/>
    <w:rsid w:val="00A86BB0"/>
    <w:rsid w:val="00A90943"/>
    <w:rsid w:val="00A91E1D"/>
    <w:rsid w:val="00A92431"/>
    <w:rsid w:val="00A93D85"/>
    <w:rsid w:val="00A9463B"/>
    <w:rsid w:val="00A95058"/>
    <w:rsid w:val="00A9513A"/>
    <w:rsid w:val="00A95DE5"/>
    <w:rsid w:val="00A95EFA"/>
    <w:rsid w:val="00A97642"/>
    <w:rsid w:val="00AA0416"/>
    <w:rsid w:val="00AA0AB9"/>
    <w:rsid w:val="00AA49D8"/>
    <w:rsid w:val="00AA4FEE"/>
    <w:rsid w:val="00AA5BDB"/>
    <w:rsid w:val="00AA5EC6"/>
    <w:rsid w:val="00AA779C"/>
    <w:rsid w:val="00AA78D1"/>
    <w:rsid w:val="00AB1C48"/>
    <w:rsid w:val="00AB4533"/>
    <w:rsid w:val="00AB49C9"/>
    <w:rsid w:val="00AC0DDB"/>
    <w:rsid w:val="00AC1C56"/>
    <w:rsid w:val="00AC1E42"/>
    <w:rsid w:val="00AC2A23"/>
    <w:rsid w:val="00AC5362"/>
    <w:rsid w:val="00AC5895"/>
    <w:rsid w:val="00AC5FEC"/>
    <w:rsid w:val="00AC7360"/>
    <w:rsid w:val="00AC7B9A"/>
    <w:rsid w:val="00AD139E"/>
    <w:rsid w:val="00AD5E32"/>
    <w:rsid w:val="00AD5EB2"/>
    <w:rsid w:val="00AD6E57"/>
    <w:rsid w:val="00AD76D3"/>
    <w:rsid w:val="00AE17C7"/>
    <w:rsid w:val="00AE186D"/>
    <w:rsid w:val="00AE1D60"/>
    <w:rsid w:val="00AE391C"/>
    <w:rsid w:val="00AE3C9F"/>
    <w:rsid w:val="00AE7529"/>
    <w:rsid w:val="00AE7823"/>
    <w:rsid w:val="00AF0FFC"/>
    <w:rsid w:val="00AF32BA"/>
    <w:rsid w:val="00AF420E"/>
    <w:rsid w:val="00B0030F"/>
    <w:rsid w:val="00B00E4D"/>
    <w:rsid w:val="00B00F0E"/>
    <w:rsid w:val="00B0154A"/>
    <w:rsid w:val="00B023CD"/>
    <w:rsid w:val="00B03AFF"/>
    <w:rsid w:val="00B04E14"/>
    <w:rsid w:val="00B05F74"/>
    <w:rsid w:val="00B05FA0"/>
    <w:rsid w:val="00B065C1"/>
    <w:rsid w:val="00B15D46"/>
    <w:rsid w:val="00B16707"/>
    <w:rsid w:val="00B17461"/>
    <w:rsid w:val="00B17DFA"/>
    <w:rsid w:val="00B20917"/>
    <w:rsid w:val="00B22081"/>
    <w:rsid w:val="00B2225F"/>
    <w:rsid w:val="00B225A5"/>
    <w:rsid w:val="00B23D60"/>
    <w:rsid w:val="00B27DD1"/>
    <w:rsid w:val="00B3329C"/>
    <w:rsid w:val="00B33DD5"/>
    <w:rsid w:val="00B33EEB"/>
    <w:rsid w:val="00B34FF2"/>
    <w:rsid w:val="00B35900"/>
    <w:rsid w:val="00B404D2"/>
    <w:rsid w:val="00B43E1C"/>
    <w:rsid w:val="00B454AC"/>
    <w:rsid w:val="00B50200"/>
    <w:rsid w:val="00B51164"/>
    <w:rsid w:val="00B53B57"/>
    <w:rsid w:val="00B5546A"/>
    <w:rsid w:val="00B5600A"/>
    <w:rsid w:val="00B56A65"/>
    <w:rsid w:val="00B601E8"/>
    <w:rsid w:val="00B63805"/>
    <w:rsid w:val="00B63E8E"/>
    <w:rsid w:val="00B65EA0"/>
    <w:rsid w:val="00B67160"/>
    <w:rsid w:val="00B67D3C"/>
    <w:rsid w:val="00B70636"/>
    <w:rsid w:val="00B70E42"/>
    <w:rsid w:val="00B71008"/>
    <w:rsid w:val="00B71869"/>
    <w:rsid w:val="00B721DD"/>
    <w:rsid w:val="00B75267"/>
    <w:rsid w:val="00B7543F"/>
    <w:rsid w:val="00B76DD5"/>
    <w:rsid w:val="00B7708F"/>
    <w:rsid w:val="00B803C2"/>
    <w:rsid w:val="00B80E9E"/>
    <w:rsid w:val="00B812D8"/>
    <w:rsid w:val="00B81BAC"/>
    <w:rsid w:val="00B81BB5"/>
    <w:rsid w:val="00B82190"/>
    <w:rsid w:val="00B82E41"/>
    <w:rsid w:val="00B83CF0"/>
    <w:rsid w:val="00B84193"/>
    <w:rsid w:val="00B85429"/>
    <w:rsid w:val="00B854AE"/>
    <w:rsid w:val="00B86416"/>
    <w:rsid w:val="00B87B93"/>
    <w:rsid w:val="00B91569"/>
    <w:rsid w:val="00B92760"/>
    <w:rsid w:val="00B94207"/>
    <w:rsid w:val="00B95742"/>
    <w:rsid w:val="00B967D5"/>
    <w:rsid w:val="00B96B88"/>
    <w:rsid w:val="00BA018D"/>
    <w:rsid w:val="00BA0E7E"/>
    <w:rsid w:val="00BA11F5"/>
    <w:rsid w:val="00BA26BB"/>
    <w:rsid w:val="00BA5491"/>
    <w:rsid w:val="00BA7A6A"/>
    <w:rsid w:val="00BB25FC"/>
    <w:rsid w:val="00BB3798"/>
    <w:rsid w:val="00BB5371"/>
    <w:rsid w:val="00BB70E1"/>
    <w:rsid w:val="00BC0154"/>
    <w:rsid w:val="00BC1086"/>
    <w:rsid w:val="00BC204D"/>
    <w:rsid w:val="00BC3347"/>
    <w:rsid w:val="00BC3EDD"/>
    <w:rsid w:val="00BC5296"/>
    <w:rsid w:val="00BD0582"/>
    <w:rsid w:val="00BD0F99"/>
    <w:rsid w:val="00BD12AF"/>
    <w:rsid w:val="00BD164B"/>
    <w:rsid w:val="00BD34DB"/>
    <w:rsid w:val="00BD4058"/>
    <w:rsid w:val="00BD42A2"/>
    <w:rsid w:val="00BD42CD"/>
    <w:rsid w:val="00BD63C8"/>
    <w:rsid w:val="00BE1AAA"/>
    <w:rsid w:val="00BE3B67"/>
    <w:rsid w:val="00BE43C2"/>
    <w:rsid w:val="00BE45D5"/>
    <w:rsid w:val="00BE4CA8"/>
    <w:rsid w:val="00BE4DBB"/>
    <w:rsid w:val="00BE57BC"/>
    <w:rsid w:val="00BE5F26"/>
    <w:rsid w:val="00BF0F82"/>
    <w:rsid w:val="00BF11EF"/>
    <w:rsid w:val="00BF5B58"/>
    <w:rsid w:val="00BF695B"/>
    <w:rsid w:val="00C00AA8"/>
    <w:rsid w:val="00C03D45"/>
    <w:rsid w:val="00C045F1"/>
    <w:rsid w:val="00C04C77"/>
    <w:rsid w:val="00C0671B"/>
    <w:rsid w:val="00C06E69"/>
    <w:rsid w:val="00C07462"/>
    <w:rsid w:val="00C10A65"/>
    <w:rsid w:val="00C110C6"/>
    <w:rsid w:val="00C11B4C"/>
    <w:rsid w:val="00C11BAE"/>
    <w:rsid w:val="00C12002"/>
    <w:rsid w:val="00C12231"/>
    <w:rsid w:val="00C12B8C"/>
    <w:rsid w:val="00C13022"/>
    <w:rsid w:val="00C1362C"/>
    <w:rsid w:val="00C13B7E"/>
    <w:rsid w:val="00C15C71"/>
    <w:rsid w:val="00C160E1"/>
    <w:rsid w:val="00C17295"/>
    <w:rsid w:val="00C17489"/>
    <w:rsid w:val="00C179CF"/>
    <w:rsid w:val="00C20267"/>
    <w:rsid w:val="00C21426"/>
    <w:rsid w:val="00C21E10"/>
    <w:rsid w:val="00C23275"/>
    <w:rsid w:val="00C2408C"/>
    <w:rsid w:val="00C2520B"/>
    <w:rsid w:val="00C25FD3"/>
    <w:rsid w:val="00C3368F"/>
    <w:rsid w:val="00C34C5C"/>
    <w:rsid w:val="00C36169"/>
    <w:rsid w:val="00C366B7"/>
    <w:rsid w:val="00C366CE"/>
    <w:rsid w:val="00C37C04"/>
    <w:rsid w:val="00C40F18"/>
    <w:rsid w:val="00C41B92"/>
    <w:rsid w:val="00C470F5"/>
    <w:rsid w:val="00C537C7"/>
    <w:rsid w:val="00C55016"/>
    <w:rsid w:val="00C5619E"/>
    <w:rsid w:val="00C606C6"/>
    <w:rsid w:val="00C607C7"/>
    <w:rsid w:val="00C61684"/>
    <w:rsid w:val="00C62DD6"/>
    <w:rsid w:val="00C63253"/>
    <w:rsid w:val="00C65B9B"/>
    <w:rsid w:val="00C674A8"/>
    <w:rsid w:val="00C70063"/>
    <w:rsid w:val="00C70BD2"/>
    <w:rsid w:val="00C71416"/>
    <w:rsid w:val="00C73735"/>
    <w:rsid w:val="00C73CB6"/>
    <w:rsid w:val="00C76056"/>
    <w:rsid w:val="00C8075C"/>
    <w:rsid w:val="00C824C1"/>
    <w:rsid w:val="00C837A1"/>
    <w:rsid w:val="00C83B31"/>
    <w:rsid w:val="00C83E8B"/>
    <w:rsid w:val="00C8428B"/>
    <w:rsid w:val="00C85D14"/>
    <w:rsid w:val="00C85FBB"/>
    <w:rsid w:val="00C87545"/>
    <w:rsid w:val="00C87651"/>
    <w:rsid w:val="00C917D0"/>
    <w:rsid w:val="00C92567"/>
    <w:rsid w:val="00C9300B"/>
    <w:rsid w:val="00C9554C"/>
    <w:rsid w:val="00C95DC9"/>
    <w:rsid w:val="00C96FA0"/>
    <w:rsid w:val="00C9702C"/>
    <w:rsid w:val="00CA2E41"/>
    <w:rsid w:val="00CA50A8"/>
    <w:rsid w:val="00CA5319"/>
    <w:rsid w:val="00CA6D72"/>
    <w:rsid w:val="00CB2891"/>
    <w:rsid w:val="00CB547F"/>
    <w:rsid w:val="00CB55AE"/>
    <w:rsid w:val="00CB6336"/>
    <w:rsid w:val="00CC0247"/>
    <w:rsid w:val="00CC047D"/>
    <w:rsid w:val="00CC1E9D"/>
    <w:rsid w:val="00CC2725"/>
    <w:rsid w:val="00CC3B9F"/>
    <w:rsid w:val="00CC3BE7"/>
    <w:rsid w:val="00CC4FE7"/>
    <w:rsid w:val="00CC5CF8"/>
    <w:rsid w:val="00CC6746"/>
    <w:rsid w:val="00CC6885"/>
    <w:rsid w:val="00CD08BE"/>
    <w:rsid w:val="00CD095D"/>
    <w:rsid w:val="00CD1CD4"/>
    <w:rsid w:val="00CD1CEC"/>
    <w:rsid w:val="00CD2A1A"/>
    <w:rsid w:val="00CD54BB"/>
    <w:rsid w:val="00CD62A3"/>
    <w:rsid w:val="00CE29A5"/>
    <w:rsid w:val="00CE5770"/>
    <w:rsid w:val="00CE63CC"/>
    <w:rsid w:val="00CF19A4"/>
    <w:rsid w:val="00CF1CAE"/>
    <w:rsid w:val="00CF319E"/>
    <w:rsid w:val="00CF40A4"/>
    <w:rsid w:val="00CF57F3"/>
    <w:rsid w:val="00CF5BB8"/>
    <w:rsid w:val="00CF5EE8"/>
    <w:rsid w:val="00CF5EF8"/>
    <w:rsid w:val="00CF6CD0"/>
    <w:rsid w:val="00CF70C0"/>
    <w:rsid w:val="00CF7B90"/>
    <w:rsid w:val="00CF7D05"/>
    <w:rsid w:val="00D01C2B"/>
    <w:rsid w:val="00D052DA"/>
    <w:rsid w:val="00D06869"/>
    <w:rsid w:val="00D06F07"/>
    <w:rsid w:val="00D07013"/>
    <w:rsid w:val="00D07C41"/>
    <w:rsid w:val="00D105CF"/>
    <w:rsid w:val="00D117C8"/>
    <w:rsid w:val="00D1190C"/>
    <w:rsid w:val="00D14417"/>
    <w:rsid w:val="00D14D47"/>
    <w:rsid w:val="00D15BE4"/>
    <w:rsid w:val="00D22639"/>
    <w:rsid w:val="00D2370D"/>
    <w:rsid w:val="00D24313"/>
    <w:rsid w:val="00D278C6"/>
    <w:rsid w:val="00D27E1A"/>
    <w:rsid w:val="00D315AE"/>
    <w:rsid w:val="00D31FF4"/>
    <w:rsid w:val="00D3660C"/>
    <w:rsid w:val="00D36B2D"/>
    <w:rsid w:val="00D36D8E"/>
    <w:rsid w:val="00D42215"/>
    <w:rsid w:val="00D42FC2"/>
    <w:rsid w:val="00D43070"/>
    <w:rsid w:val="00D432B9"/>
    <w:rsid w:val="00D434C4"/>
    <w:rsid w:val="00D43CBF"/>
    <w:rsid w:val="00D43DDC"/>
    <w:rsid w:val="00D4488C"/>
    <w:rsid w:val="00D46406"/>
    <w:rsid w:val="00D464BA"/>
    <w:rsid w:val="00D46783"/>
    <w:rsid w:val="00D4736F"/>
    <w:rsid w:val="00D51F94"/>
    <w:rsid w:val="00D520CF"/>
    <w:rsid w:val="00D5238E"/>
    <w:rsid w:val="00D54D77"/>
    <w:rsid w:val="00D5566D"/>
    <w:rsid w:val="00D56064"/>
    <w:rsid w:val="00D62BDF"/>
    <w:rsid w:val="00D63AE7"/>
    <w:rsid w:val="00D6537F"/>
    <w:rsid w:val="00D70114"/>
    <w:rsid w:val="00D7091D"/>
    <w:rsid w:val="00D72882"/>
    <w:rsid w:val="00D75959"/>
    <w:rsid w:val="00D76A33"/>
    <w:rsid w:val="00D77A0F"/>
    <w:rsid w:val="00D812F6"/>
    <w:rsid w:val="00D81653"/>
    <w:rsid w:val="00D83A8B"/>
    <w:rsid w:val="00D8470C"/>
    <w:rsid w:val="00D85A06"/>
    <w:rsid w:val="00D86867"/>
    <w:rsid w:val="00D907AA"/>
    <w:rsid w:val="00D92117"/>
    <w:rsid w:val="00D92717"/>
    <w:rsid w:val="00D93E78"/>
    <w:rsid w:val="00D94810"/>
    <w:rsid w:val="00D94CA0"/>
    <w:rsid w:val="00DA1B3E"/>
    <w:rsid w:val="00DA1E67"/>
    <w:rsid w:val="00DA2D45"/>
    <w:rsid w:val="00DA317E"/>
    <w:rsid w:val="00DA6627"/>
    <w:rsid w:val="00DA6D90"/>
    <w:rsid w:val="00DA6F55"/>
    <w:rsid w:val="00DB0F69"/>
    <w:rsid w:val="00DB3552"/>
    <w:rsid w:val="00DB546E"/>
    <w:rsid w:val="00DB5812"/>
    <w:rsid w:val="00DB60B2"/>
    <w:rsid w:val="00DC1E50"/>
    <w:rsid w:val="00DC2A9D"/>
    <w:rsid w:val="00DC375E"/>
    <w:rsid w:val="00DC45EE"/>
    <w:rsid w:val="00DC47B6"/>
    <w:rsid w:val="00DC5145"/>
    <w:rsid w:val="00DC5199"/>
    <w:rsid w:val="00DD16D9"/>
    <w:rsid w:val="00DD2819"/>
    <w:rsid w:val="00DD2AE7"/>
    <w:rsid w:val="00DD3163"/>
    <w:rsid w:val="00DD533D"/>
    <w:rsid w:val="00DD58E7"/>
    <w:rsid w:val="00DD71C9"/>
    <w:rsid w:val="00DE1C0C"/>
    <w:rsid w:val="00DE27BF"/>
    <w:rsid w:val="00DE2E59"/>
    <w:rsid w:val="00DE3091"/>
    <w:rsid w:val="00DE3C09"/>
    <w:rsid w:val="00DE64A5"/>
    <w:rsid w:val="00DE7B23"/>
    <w:rsid w:val="00DF02DF"/>
    <w:rsid w:val="00DF0C77"/>
    <w:rsid w:val="00DF26CA"/>
    <w:rsid w:val="00DF29C6"/>
    <w:rsid w:val="00DF4AA7"/>
    <w:rsid w:val="00DF4D05"/>
    <w:rsid w:val="00DF52D7"/>
    <w:rsid w:val="00DF684E"/>
    <w:rsid w:val="00E02C66"/>
    <w:rsid w:val="00E0467A"/>
    <w:rsid w:val="00E04D21"/>
    <w:rsid w:val="00E062D9"/>
    <w:rsid w:val="00E067FE"/>
    <w:rsid w:val="00E07055"/>
    <w:rsid w:val="00E07750"/>
    <w:rsid w:val="00E1382E"/>
    <w:rsid w:val="00E15370"/>
    <w:rsid w:val="00E161FE"/>
    <w:rsid w:val="00E17683"/>
    <w:rsid w:val="00E20A26"/>
    <w:rsid w:val="00E20C1F"/>
    <w:rsid w:val="00E2134C"/>
    <w:rsid w:val="00E229D8"/>
    <w:rsid w:val="00E23780"/>
    <w:rsid w:val="00E23A06"/>
    <w:rsid w:val="00E23F98"/>
    <w:rsid w:val="00E2516A"/>
    <w:rsid w:val="00E2543E"/>
    <w:rsid w:val="00E2591C"/>
    <w:rsid w:val="00E2597F"/>
    <w:rsid w:val="00E271E7"/>
    <w:rsid w:val="00E273D9"/>
    <w:rsid w:val="00E27F69"/>
    <w:rsid w:val="00E3043C"/>
    <w:rsid w:val="00E30BF8"/>
    <w:rsid w:val="00E31253"/>
    <w:rsid w:val="00E33BCB"/>
    <w:rsid w:val="00E3415E"/>
    <w:rsid w:val="00E34C1F"/>
    <w:rsid w:val="00E36E7C"/>
    <w:rsid w:val="00E37179"/>
    <w:rsid w:val="00E417D4"/>
    <w:rsid w:val="00E43FAD"/>
    <w:rsid w:val="00E46077"/>
    <w:rsid w:val="00E47CE9"/>
    <w:rsid w:val="00E526AE"/>
    <w:rsid w:val="00E54721"/>
    <w:rsid w:val="00E56CC0"/>
    <w:rsid w:val="00E57508"/>
    <w:rsid w:val="00E57C6B"/>
    <w:rsid w:val="00E6011C"/>
    <w:rsid w:val="00E64910"/>
    <w:rsid w:val="00E66298"/>
    <w:rsid w:val="00E6684A"/>
    <w:rsid w:val="00E672E2"/>
    <w:rsid w:val="00E7063D"/>
    <w:rsid w:val="00E74154"/>
    <w:rsid w:val="00E74315"/>
    <w:rsid w:val="00E74496"/>
    <w:rsid w:val="00E75480"/>
    <w:rsid w:val="00E76F8C"/>
    <w:rsid w:val="00E80EF5"/>
    <w:rsid w:val="00E82A7C"/>
    <w:rsid w:val="00E83209"/>
    <w:rsid w:val="00E8331A"/>
    <w:rsid w:val="00E84A41"/>
    <w:rsid w:val="00E8566B"/>
    <w:rsid w:val="00E87465"/>
    <w:rsid w:val="00E87522"/>
    <w:rsid w:val="00E90007"/>
    <w:rsid w:val="00E90A4F"/>
    <w:rsid w:val="00E90A52"/>
    <w:rsid w:val="00E90E58"/>
    <w:rsid w:val="00E91816"/>
    <w:rsid w:val="00E924EE"/>
    <w:rsid w:val="00E92876"/>
    <w:rsid w:val="00E9329F"/>
    <w:rsid w:val="00E95486"/>
    <w:rsid w:val="00E95D2A"/>
    <w:rsid w:val="00E967D4"/>
    <w:rsid w:val="00EA057B"/>
    <w:rsid w:val="00EA1CA0"/>
    <w:rsid w:val="00EA73FF"/>
    <w:rsid w:val="00EA76CB"/>
    <w:rsid w:val="00EA790B"/>
    <w:rsid w:val="00EB4DDF"/>
    <w:rsid w:val="00EB56AF"/>
    <w:rsid w:val="00EB6878"/>
    <w:rsid w:val="00EB766C"/>
    <w:rsid w:val="00EC10DD"/>
    <w:rsid w:val="00EC1C6D"/>
    <w:rsid w:val="00EC2A7E"/>
    <w:rsid w:val="00EC361B"/>
    <w:rsid w:val="00ED1C03"/>
    <w:rsid w:val="00ED29CA"/>
    <w:rsid w:val="00ED2C46"/>
    <w:rsid w:val="00ED506B"/>
    <w:rsid w:val="00ED6195"/>
    <w:rsid w:val="00ED61EB"/>
    <w:rsid w:val="00ED74C7"/>
    <w:rsid w:val="00ED7677"/>
    <w:rsid w:val="00EE200C"/>
    <w:rsid w:val="00EE3088"/>
    <w:rsid w:val="00EE48B8"/>
    <w:rsid w:val="00EE716A"/>
    <w:rsid w:val="00F012D3"/>
    <w:rsid w:val="00F01758"/>
    <w:rsid w:val="00F01773"/>
    <w:rsid w:val="00F03AEB"/>
    <w:rsid w:val="00F04C13"/>
    <w:rsid w:val="00F05D60"/>
    <w:rsid w:val="00F063DD"/>
    <w:rsid w:val="00F068A1"/>
    <w:rsid w:val="00F06B50"/>
    <w:rsid w:val="00F06C4B"/>
    <w:rsid w:val="00F12D2E"/>
    <w:rsid w:val="00F13B71"/>
    <w:rsid w:val="00F149B6"/>
    <w:rsid w:val="00F14AF6"/>
    <w:rsid w:val="00F15173"/>
    <w:rsid w:val="00F16994"/>
    <w:rsid w:val="00F16A0B"/>
    <w:rsid w:val="00F17616"/>
    <w:rsid w:val="00F177E6"/>
    <w:rsid w:val="00F20A1F"/>
    <w:rsid w:val="00F21F90"/>
    <w:rsid w:val="00F231FB"/>
    <w:rsid w:val="00F2392E"/>
    <w:rsid w:val="00F23D64"/>
    <w:rsid w:val="00F25543"/>
    <w:rsid w:val="00F2604C"/>
    <w:rsid w:val="00F27BD3"/>
    <w:rsid w:val="00F31E5D"/>
    <w:rsid w:val="00F33EFD"/>
    <w:rsid w:val="00F34ABD"/>
    <w:rsid w:val="00F3779B"/>
    <w:rsid w:val="00F37AB6"/>
    <w:rsid w:val="00F37B30"/>
    <w:rsid w:val="00F409C2"/>
    <w:rsid w:val="00F4247D"/>
    <w:rsid w:val="00F4356B"/>
    <w:rsid w:val="00F43C23"/>
    <w:rsid w:val="00F4463A"/>
    <w:rsid w:val="00F4728F"/>
    <w:rsid w:val="00F4780C"/>
    <w:rsid w:val="00F479DB"/>
    <w:rsid w:val="00F5292B"/>
    <w:rsid w:val="00F53751"/>
    <w:rsid w:val="00F54234"/>
    <w:rsid w:val="00F5479E"/>
    <w:rsid w:val="00F55B82"/>
    <w:rsid w:val="00F5620D"/>
    <w:rsid w:val="00F6146B"/>
    <w:rsid w:val="00F615B6"/>
    <w:rsid w:val="00F61A55"/>
    <w:rsid w:val="00F623F5"/>
    <w:rsid w:val="00F626B0"/>
    <w:rsid w:val="00F6492C"/>
    <w:rsid w:val="00F65452"/>
    <w:rsid w:val="00F672FE"/>
    <w:rsid w:val="00F700FB"/>
    <w:rsid w:val="00F70B2F"/>
    <w:rsid w:val="00F83B08"/>
    <w:rsid w:val="00F8445A"/>
    <w:rsid w:val="00F85785"/>
    <w:rsid w:val="00F8588D"/>
    <w:rsid w:val="00F869D1"/>
    <w:rsid w:val="00F90225"/>
    <w:rsid w:val="00F90E58"/>
    <w:rsid w:val="00F921D6"/>
    <w:rsid w:val="00F921EE"/>
    <w:rsid w:val="00F92554"/>
    <w:rsid w:val="00F9434C"/>
    <w:rsid w:val="00F95761"/>
    <w:rsid w:val="00F97BAD"/>
    <w:rsid w:val="00FA14E5"/>
    <w:rsid w:val="00FA1A6D"/>
    <w:rsid w:val="00FA1EB7"/>
    <w:rsid w:val="00FA43CF"/>
    <w:rsid w:val="00FA4A1F"/>
    <w:rsid w:val="00FA5CC8"/>
    <w:rsid w:val="00FA630F"/>
    <w:rsid w:val="00FA6DED"/>
    <w:rsid w:val="00FA7A24"/>
    <w:rsid w:val="00FA7EE7"/>
    <w:rsid w:val="00FB153C"/>
    <w:rsid w:val="00FB197F"/>
    <w:rsid w:val="00FB37FD"/>
    <w:rsid w:val="00FB3DAE"/>
    <w:rsid w:val="00FB4E3A"/>
    <w:rsid w:val="00FB5FF9"/>
    <w:rsid w:val="00FB67A3"/>
    <w:rsid w:val="00FC0212"/>
    <w:rsid w:val="00FC2FF0"/>
    <w:rsid w:val="00FC5D16"/>
    <w:rsid w:val="00FC60C7"/>
    <w:rsid w:val="00FC65FB"/>
    <w:rsid w:val="00FC6D4E"/>
    <w:rsid w:val="00FC79FA"/>
    <w:rsid w:val="00FC7F1D"/>
    <w:rsid w:val="00FD05A4"/>
    <w:rsid w:val="00FD14C7"/>
    <w:rsid w:val="00FD2028"/>
    <w:rsid w:val="00FD36E1"/>
    <w:rsid w:val="00FD6562"/>
    <w:rsid w:val="00FD6AC0"/>
    <w:rsid w:val="00FD750D"/>
    <w:rsid w:val="00FE0141"/>
    <w:rsid w:val="00FE0295"/>
    <w:rsid w:val="00FE1854"/>
    <w:rsid w:val="00FE32DE"/>
    <w:rsid w:val="00FE34CC"/>
    <w:rsid w:val="00FE725B"/>
    <w:rsid w:val="00FE7C4D"/>
    <w:rsid w:val="00FF3057"/>
    <w:rsid w:val="00FF5C53"/>
  </w:rsids>
  <m:mathPr>
    <m:mathFont m:val="Cambria Math"/>
    <m:brkBin m:val="before"/>
    <m:brkBinSub m:val="--"/>
    <m:smallFrac m:val="0"/>
    <m:dispDef/>
    <m:lMargin m:val="0"/>
    <m:rMargin m:val="0"/>
    <m:defJc m:val="centerGroup"/>
    <m:wrapIndent m:val="1440"/>
    <m:intLim m:val="undOvr"/>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FC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5271B8"/>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qFormat/>
    <w:pPr>
      <w:jc w:val="left"/>
    </w:pPr>
    <w:rPr>
      <w:rFonts w:asciiTheme="minorHAnsi" w:hAnsiTheme="minorHAnsi"/>
      <w:b/>
      <w:szCs w:val="24"/>
    </w:rPr>
  </w:style>
  <w:style w:type="paragraph" w:styleId="TOC2">
    <w:name w:val="toc 2"/>
    <w:basedOn w:val="Normal"/>
    <w:next w:val="Normal"/>
    <w:autoRedefine/>
    <w:uiPriority w:val="39"/>
    <w:qFormat/>
    <w:pPr>
      <w:spacing w:before="0"/>
      <w:ind w:left="240"/>
      <w:jc w:val="left"/>
    </w:pPr>
    <w:rPr>
      <w:rFonts w:asciiTheme="minorHAnsi" w:hAnsiTheme="minorHAnsi"/>
      <w:b/>
      <w:sz w:val="22"/>
      <w:szCs w:val="22"/>
    </w:rPr>
  </w:style>
  <w:style w:type="paragraph" w:styleId="TOC3">
    <w:name w:val="toc 3"/>
    <w:basedOn w:val="Normal"/>
    <w:next w:val="Normal"/>
    <w:autoRedefine/>
    <w:uiPriority w:val="39"/>
    <w:qFormat/>
    <w:pPr>
      <w:spacing w:before="0"/>
      <w:ind w:left="480"/>
      <w:jc w:val="left"/>
    </w:pPr>
    <w:rPr>
      <w:rFonts w:asciiTheme="minorHAnsi" w:hAnsiTheme="minorHAnsi"/>
      <w:sz w:val="22"/>
      <w:szCs w:val="22"/>
    </w:rPr>
  </w:style>
  <w:style w:type="paragraph" w:styleId="TOC4">
    <w:name w:val="toc 4"/>
    <w:basedOn w:val="Normal"/>
    <w:next w:val="Normal"/>
    <w:autoRedefine/>
    <w:uiPriority w:val="39"/>
    <w:pPr>
      <w:spacing w:before="0"/>
      <w:ind w:left="720"/>
      <w:jc w:val="left"/>
    </w:pPr>
    <w:rPr>
      <w:rFonts w:asciiTheme="minorHAnsi" w:hAnsiTheme="minorHAnsi"/>
      <w:sz w:val="20"/>
    </w:rPr>
  </w:style>
  <w:style w:type="paragraph" w:styleId="TOC5">
    <w:name w:val="toc 5"/>
    <w:basedOn w:val="Normal"/>
    <w:next w:val="Normal"/>
    <w:autoRedefine/>
    <w:semiHidden/>
    <w:pPr>
      <w:spacing w:before="0"/>
      <w:ind w:left="960"/>
      <w:jc w:val="left"/>
    </w:pPr>
    <w:rPr>
      <w:rFonts w:asciiTheme="minorHAnsi" w:hAnsiTheme="minorHAnsi"/>
      <w:sz w:val="20"/>
    </w:rPr>
  </w:style>
  <w:style w:type="paragraph" w:styleId="TOC6">
    <w:name w:val="toc 6"/>
    <w:basedOn w:val="Normal"/>
    <w:next w:val="Normal"/>
    <w:autoRedefine/>
    <w:semiHidden/>
    <w:pPr>
      <w:spacing w:before="0"/>
      <w:ind w:left="1200"/>
      <w:jc w:val="left"/>
    </w:pPr>
    <w:rPr>
      <w:rFonts w:asciiTheme="minorHAnsi" w:hAnsiTheme="minorHAnsi"/>
      <w:sz w:val="20"/>
    </w:rPr>
  </w:style>
  <w:style w:type="paragraph" w:styleId="TOC7">
    <w:name w:val="toc 7"/>
    <w:basedOn w:val="Normal"/>
    <w:next w:val="Normal"/>
    <w:autoRedefine/>
    <w:semiHidden/>
    <w:pPr>
      <w:spacing w:before="0"/>
      <w:ind w:left="1440"/>
      <w:jc w:val="left"/>
    </w:pPr>
    <w:rPr>
      <w:rFonts w:asciiTheme="minorHAnsi" w:hAnsiTheme="minorHAnsi"/>
      <w:sz w:val="20"/>
    </w:rPr>
  </w:style>
  <w:style w:type="paragraph" w:styleId="TOC8">
    <w:name w:val="toc 8"/>
    <w:basedOn w:val="Normal"/>
    <w:next w:val="Normal"/>
    <w:autoRedefine/>
    <w:semiHidden/>
    <w:pPr>
      <w:spacing w:before="0"/>
      <w:ind w:left="1680"/>
      <w:jc w:val="left"/>
    </w:pPr>
    <w:rPr>
      <w:rFonts w:asciiTheme="minorHAnsi" w:hAnsiTheme="minorHAnsi"/>
      <w:sz w:val="20"/>
    </w:rPr>
  </w:style>
  <w:style w:type="paragraph" w:styleId="TOC9">
    <w:name w:val="toc 9"/>
    <w:basedOn w:val="Normal"/>
    <w:next w:val="Normal"/>
    <w:autoRedefine/>
    <w:semiHidden/>
    <w:pPr>
      <w:spacing w:before="0"/>
      <w:ind w:left="1920"/>
      <w:jc w:val="left"/>
    </w:pPr>
    <w:rPr>
      <w:rFonts w:asciiTheme="minorHAnsi" w:hAnsiTheme="minorHAnsi"/>
      <w:sz w:val="20"/>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EndnoteText">
    <w:name w:val="endnote text"/>
    <w:basedOn w:val="Normal"/>
    <w:link w:val="EndnoteTextChar"/>
    <w:rsid w:val="0019634E"/>
    <w:rPr>
      <w:sz w:val="20"/>
    </w:rPr>
  </w:style>
  <w:style w:type="character" w:customStyle="1" w:styleId="EndnoteTextChar">
    <w:name w:val="Endnote Text Char"/>
    <w:basedOn w:val="DefaultParagraphFont"/>
    <w:link w:val="EndnoteText"/>
    <w:rsid w:val="0019634E"/>
  </w:style>
  <w:style w:type="character" w:styleId="EndnoteReference">
    <w:name w:val="endnote reference"/>
    <w:basedOn w:val="DefaultParagraphFont"/>
    <w:rsid w:val="0019634E"/>
    <w:rPr>
      <w:vertAlign w:val="superscript"/>
    </w:rPr>
  </w:style>
  <w:style w:type="character" w:styleId="PlaceholderText">
    <w:name w:val="Placeholder Text"/>
    <w:basedOn w:val="DefaultParagraphFont"/>
    <w:uiPriority w:val="99"/>
    <w:semiHidden/>
    <w:rsid w:val="000C7B52"/>
    <w:rPr>
      <w:color w:val="808080"/>
    </w:rPr>
  </w:style>
  <w:style w:type="paragraph" w:styleId="BalloonText">
    <w:name w:val="Balloon Text"/>
    <w:basedOn w:val="Normal"/>
    <w:link w:val="BalloonTextChar"/>
    <w:rsid w:val="000C7B52"/>
    <w:pPr>
      <w:spacing w:before="0"/>
    </w:pPr>
    <w:rPr>
      <w:rFonts w:ascii="Tahoma" w:hAnsi="Tahoma" w:cs="Tahoma"/>
      <w:sz w:val="16"/>
      <w:szCs w:val="16"/>
    </w:rPr>
  </w:style>
  <w:style w:type="character" w:customStyle="1" w:styleId="BalloonTextChar">
    <w:name w:val="Balloon Text Char"/>
    <w:basedOn w:val="DefaultParagraphFont"/>
    <w:link w:val="BalloonText"/>
    <w:rsid w:val="000C7B52"/>
    <w:rPr>
      <w:rFonts w:ascii="Tahoma" w:hAnsi="Tahoma" w:cs="Tahoma"/>
      <w:sz w:val="16"/>
      <w:szCs w:val="16"/>
    </w:rPr>
  </w:style>
  <w:style w:type="paragraph" w:styleId="ListParagraph">
    <w:name w:val="List Paragraph"/>
    <w:basedOn w:val="Normal"/>
    <w:uiPriority w:val="34"/>
    <w:qFormat/>
    <w:rsid w:val="00477FF3"/>
    <w:pPr>
      <w:ind w:left="720"/>
      <w:contextualSpacing/>
    </w:pPr>
  </w:style>
  <w:style w:type="paragraph" w:styleId="TOCHeading">
    <w:name w:val="TOC Heading"/>
    <w:basedOn w:val="Heading1"/>
    <w:next w:val="Normal"/>
    <w:uiPriority w:val="39"/>
    <w:unhideWhenUsed/>
    <w:qFormat/>
    <w:rsid w:val="00F4247D"/>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Bibliography">
    <w:name w:val="Bibliography"/>
    <w:basedOn w:val="Normal"/>
    <w:next w:val="Normal"/>
    <w:uiPriority w:val="37"/>
    <w:unhideWhenUsed/>
    <w:rsid w:val="00895D4D"/>
  </w:style>
  <w:style w:type="table" w:styleId="TableGrid">
    <w:name w:val="Table Grid"/>
    <w:basedOn w:val="TableNormal"/>
    <w:rsid w:val="00500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0168E1"/>
    <w:rPr>
      <w:color w:val="800080" w:themeColor="followedHyperlink"/>
      <w:u w:val="single"/>
    </w:rPr>
  </w:style>
  <w:style w:type="paragraph" w:styleId="BlockText">
    <w:name w:val="Block Text"/>
    <w:basedOn w:val="Normal"/>
    <w:rsid w:val="00B9276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B92760"/>
    <w:pPr>
      <w:spacing w:after="120" w:line="480" w:lineRule="auto"/>
    </w:pPr>
  </w:style>
  <w:style w:type="character" w:customStyle="1" w:styleId="BodyText2Char">
    <w:name w:val="Body Text 2 Char"/>
    <w:basedOn w:val="DefaultParagraphFont"/>
    <w:link w:val="BodyText2"/>
    <w:rsid w:val="00B92760"/>
    <w:rPr>
      <w:sz w:val="24"/>
    </w:rPr>
  </w:style>
  <w:style w:type="paragraph" w:styleId="BodyText3">
    <w:name w:val="Body Text 3"/>
    <w:basedOn w:val="Normal"/>
    <w:link w:val="BodyText3Char"/>
    <w:rsid w:val="00B92760"/>
    <w:pPr>
      <w:spacing w:after="120"/>
    </w:pPr>
    <w:rPr>
      <w:sz w:val="16"/>
      <w:szCs w:val="16"/>
    </w:rPr>
  </w:style>
  <w:style w:type="character" w:customStyle="1" w:styleId="BodyText3Char">
    <w:name w:val="Body Text 3 Char"/>
    <w:basedOn w:val="DefaultParagraphFont"/>
    <w:link w:val="BodyText3"/>
    <w:rsid w:val="00B92760"/>
    <w:rPr>
      <w:sz w:val="16"/>
      <w:szCs w:val="16"/>
    </w:rPr>
  </w:style>
  <w:style w:type="paragraph" w:styleId="BodyTextFirstIndent">
    <w:name w:val="Body Text First Indent"/>
    <w:basedOn w:val="BodyText"/>
    <w:link w:val="BodyTextFirstIndentChar"/>
    <w:rsid w:val="00B92760"/>
    <w:pPr>
      <w:ind w:firstLine="360"/>
      <w:jc w:val="both"/>
    </w:pPr>
    <w:rPr>
      <w:rFonts w:ascii="Times New Roman" w:hAnsi="Times New Roman"/>
      <w:sz w:val="24"/>
    </w:rPr>
  </w:style>
  <w:style w:type="character" w:customStyle="1" w:styleId="BodyTextChar">
    <w:name w:val="Body Text Char"/>
    <w:basedOn w:val="DefaultParagraphFont"/>
    <w:link w:val="BodyText"/>
    <w:rsid w:val="00B92760"/>
    <w:rPr>
      <w:rFonts w:ascii="Times" w:hAnsi="Times"/>
      <w:sz w:val="40"/>
    </w:rPr>
  </w:style>
  <w:style w:type="character" w:customStyle="1" w:styleId="BodyTextFirstIndentChar">
    <w:name w:val="Body Text First Indent Char"/>
    <w:basedOn w:val="BodyTextChar"/>
    <w:link w:val="BodyTextFirstIndent"/>
    <w:rsid w:val="00B92760"/>
    <w:rPr>
      <w:rFonts w:ascii="Times" w:hAnsi="Times"/>
      <w:sz w:val="24"/>
    </w:rPr>
  </w:style>
  <w:style w:type="paragraph" w:styleId="BodyTextIndent">
    <w:name w:val="Body Text Indent"/>
    <w:basedOn w:val="Normal"/>
    <w:link w:val="BodyTextIndentChar"/>
    <w:rsid w:val="00B92760"/>
    <w:pPr>
      <w:spacing w:after="120"/>
      <w:ind w:left="360"/>
    </w:pPr>
  </w:style>
  <w:style w:type="character" w:customStyle="1" w:styleId="BodyTextIndentChar">
    <w:name w:val="Body Text Indent Char"/>
    <w:basedOn w:val="DefaultParagraphFont"/>
    <w:link w:val="BodyTextIndent"/>
    <w:rsid w:val="00B92760"/>
    <w:rPr>
      <w:sz w:val="24"/>
    </w:rPr>
  </w:style>
  <w:style w:type="paragraph" w:styleId="BodyTextFirstIndent2">
    <w:name w:val="Body Text First Indent 2"/>
    <w:basedOn w:val="BodyTextIndent"/>
    <w:link w:val="BodyTextFirstIndent2Char"/>
    <w:rsid w:val="00B92760"/>
    <w:pPr>
      <w:spacing w:after="0"/>
      <w:ind w:firstLine="360"/>
    </w:pPr>
  </w:style>
  <w:style w:type="character" w:customStyle="1" w:styleId="BodyTextFirstIndent2Char">
    <w:name w:val="Body Text First Indent 2 Char"/>
    <w:basedOn w:val="BodyTextIndentChar"/>
    <w:link w:val="BodyTextFirstIndent2"/>
    <w:rsid w:val="00B92760"/>
    <w:rPr>
      <w:sz w:val="24"/>
    </w:rPr>
  </w:style>
  <w:style w:type="paragraph" w:styleId="BodyTextIndent2">
    <w:name w:val="Body Text Indent 2"/>
    <w:basedOn w:val="Normal"/>
    <w:link w:val="BodyTextIndent2Char"/>
    <w:rsid w:val="00B92760"/>
    <w:pPr>
      <w:spacing w:after="120" w:line="480" w:lineRule="auto"/>
      <w:ind w:left="360"/>
    </w:pPr>
  </w:style>
  <w:style w:type="character" w:customStyle="1" w:styleId="BodyTextIndent2Char">
    <w:name w:val="Body Text Indent 2 Char"/>
    <w:basedOn w:val="DefaultParagraphFont"/>
    <w:link w:val="BodyTextIndent2"/>
    <w:rsid w:val="00B92760"/>
    <w:rPr>
      <w:sz w:val="24"/>
    </w:rPr>
  </w:style>
  <w:style w:type="paragraph" w:styleId="BodyTextIndent3">
    <w:name w:val="Body Text Indent 3"/>
    <w:basedOn w:val="Normal"/>
    <w:link w:val="BodyTextIndent3Char"/>
    <w:rsid w:val="00B92760"/>
    <w:pPr>
      <w:spacing w:after="120"/>
      <w:ind w:left="360"/>
    </w:pPr>
    <w:rPr>
      <w:sz w:val="16"/>
      <w:szCs w:val="16"/>
    </w:rPr>
  </w:style>
  <w:style w:type="character" w:customStyle="1" w:styleId="BodyTextIndent3Char">
    <w:name w:val="Body Text Indent 3 Char"/>
    <w:basedOn w:val="DefaultParagraphFont"/>
    <w:link w:val="BodyTextIndent3"/>
    <w:rsid w:val="00B92760"/>
    <w:rPr>
      <w:sz w:val="16"/>
      <w:szCs w:val="16"/>
    </w:rPr>
  </w:style>
  <w:style w:type="paragraph" w:styleId="Closing">
    <w:name w:val="Closing"/>
    <w:basedOn w:val="Normal"/>
    <w:link w:val="ClosingChar"/>
    <w:rsid w:val="00B92760"/>
    <w:pPr>
      <w:spacing w:before="0"/>
      <w:ind w:left="4320"/>
    </w:pPr>
  </w:style>
  <w:style w:type="character" w:customStyle="1" w:styleId="ClosingChar">
    <w:name w:val="Closing Char"/>
    <w:basedOn w:val="DefaultParagraphFont"/>
    <w:link w:val="Closing"/>
    <w:rsid w:val="00B92760"/>
    <w:rPr>
      <w:sz w:val="24"/>
    </w:rPr>
  </w:style>
  <w:style w:type="paragraph" w:styleId="CommentText">
    <w:name w:val="annotation text"/>
    <w:basedOn w:val="Normal"/>
    <w:link w:val="CommentTextChar"/>
    <w:rsid w:val="00B92760"/>
    <w:rPr>
      <w:sz w:val="20"/>
    </w:rPr>
  </w:style>
  <w:style w:type="character" w:customStyle="1" w:styleId="CommentTextChar">
    <w:name w:val="Comment Text Char"/>
    <w:basedOn w:val="DefaultParagraphFont"/>
    <w:link w:val="CommentText"/>
    <w:rsid w:val="00B92760"/>
  </w:style>
  <w:style w:type="paragraph" w:styleId="CommentSubject">
    <w:name w:val="annotation subject"/>
    <w:basedOn w:val="CommentText"/>
    <w:next w:val="CommentText"/>
    <w:link w:val="CommentSubjectChar"/>
    <w:rsid w:val="00B92760"/>
    <w:rPr>
      <w:b/>
      <w:bCs/>
    </w:rPr>
  </w:style>
  <w:style w:type="character" w:customStyle="1" w:styleId="CommentSubjectChar">
    <w:name w:val="Comment Subject Char"/>
    <w:basedOn w:val="CommentTextChar"/>
    <w:link w:val="CommentSubject"/>
    <w:rsid w:val="00B92760"/>
    <w:rPr>
      <w:b/>
      <w:bCs/>
    </w:rPr>
  </w:style>
  <w:style w:type="paragraph" w:styleId="Date">
    <w:name w:val="Date"/>
    <w:basedOn w:val="Normal"/>
    <w:next w:val="Normal"/>
    <w:link w:val="DateChar"/>
    <w:rsid w:val="00B92760"/>
  </w:style>
  <w:style w:type="character" w:customStyle="1" w:styleId="DateChar">
    <w:name w:val="Date Char"/>
    <w:basedOn w:val="DefaultParagraphFont"/>
    <w:link w:val="Date"/>
    <w:rsid w:val="00B92760"/>
    <w:rPr>
      <w:sz w:val="24"/>
    </w:rPr>
  </w:style>
  <w:style w:type="paragraph" w:styleId="E-mailSignature">
    <w:name w:val="E-mail Signature"/>
    <w:basedOn w:val="Normal"/>
    <w:link w:val="E-mailSignatureChar"/>
    <w:rsid w:val="00B92760"/>
    <w:pPr>
      <w:spacing w:before="0"/>
    </w:pPr>
  </w:style>
  <w:style w:type="character" w:customStyle="1" w:styleId="E-mailSignatureChar">
    <w:name w:val="E-mail Signature Char"/>
    <w:basedOn w:val="DefaultParagraphFont"/>
    <w:link w:val="E-mailSignature"/>
    <w:rsid w:val="00B92760"/>
    <w:rPr>
      <w:sz w:val="24"/>
    </w:rPr>
  </w:style>
  <w:style w:type="paragraph" w:styleId="EnvelopeAddress">
    <w:name w:val="envelope address"/>
    <w:basedOn w:val="Normal"/>
    <w:rsid w:val="00B92760"/>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B92760"/>
    <w:pPr>
      <w:spacing w:before="0"/>
    </w:pPr>
    <w:rPr>
      <w:rFonts w:asciiTheme="majorHAnsi" w:eastAsiaTheme="majorEastAsia" w:hAnsiTheme="majorHAnsi" w:cstheme="majorBidi"/>
      <w:sz w:val="20"/>
    </w:rPr>
  </w:style>
  <w:style w:type="paragraph" w:styleId="HTMLAddress">
    <w:name w:val="HTML Address"/>
    <w:basedOn w:val="Normal"/>
    <w:link w:val="HTMLAddressChar"/>
    <w:rsid w:val="00B92760"/>
    <w:pPr>
      <w:spacing w:before="0"/>
    </w:pPr>
    <w:rPr>
      <w:i/>
      <w:iCs/>
    </w:rPr>
  </w:style>
  <w:style w:type="character" w:customStyle="1" w:styleId="HTMLAddressChar">
    <w:name w:val="HTML Address Char"/>
    <w:basedOn w:val="DefaultParagraphFont"/>
    <w:link w:val="HTMLAddress"/>
    <w:rsid w:val="00B92760"/>
    <w:rPr>
      <w:i/>
      <w:iCs/>
      <w:sz w:val="24"/>
    </w:rPr>
  </w:style>
  <w:style w:type="paragraph" w:styleId="HTMLPreformatted">
    <w:name w:val="HTML Preformatted"/>
    <w:basedOn w:val="Normal"/>
    <w:link w:val="HTMLPreformattedChar"/>
    <w:rsid w:val="00B92760"/>
    <w:pPr>
      <w:spacing w:before="0"/>
    </w:pPr>
    <w:rPr>
      <w:rFonts w:ascii="Consolas" w:hAnsi="Consolas"/>
      <w:sz w:val="20"/>
    </w:rPr>
  </w:style>
  <w:style w:type="character" w:customStyle="1" w:styleId="HTMLPreformattedChar">
    <w:name w:val="HTML Preformatted Char"/>
    <w:basedOn w:val="DefaultParagraphFont"/>
    <w:link w:val="HTMLPreformatted"/>
    <w:rsid w:val="00B92760"/>
    <w:rPr>
      <w:rFonts w:ascii="Consolas" w:hAnsi="Consolas"/>
    </w:rPr>
  </w:style>
  <w:style w:type="paragraph" w:styleId="Index1">
    <w:name w:val="index 1"/>
    <w:basedOn w:val="Normal"/>
    <w:next w:val="Normal"/>
    <w:autoRedefine/>
    <w:rsid w:val="00B92760"/>
    <w:pPr>
      <w:spacing w:before="0"/>
      <w:ind w:left="240" w:hanging="240"/>
    </w:pPr>
  </w:style>
  <w:style w:type="paragraph" w:styleId="Index2">
    <w:name w:val="index 2"/>
    <w:basedOn w:val="Normal"/>
    <w:next w:val="Normal"/>
    <w:autoRedefine/>
    <w:rsid w:val="00B92760"/>
    <w:pPr>
      <w:spacing w:before="0"/>
      <w:ind w:left="480" w:hanging="240"/>
    </w:pPr>
  </w:style>
  <w:style w:type="paragraph" w:styleId="Index3">
    <w:name w:val="index 3"/>
    <w:basedOn w:val="Normal"/>
    <w:next w:val="Normal"/>
    <w:autoRedefine/>
    <w:rsid w:val="00B92760"/>
    <w:pPr>
      <w:spacing w:before="0"/>
      <w:ind w:left="720" w:hanging="240"/>
    </w:pPr>
  </w:style>
  <w:style w:type="paragraph" w:styleId="Index4">
    <w:name w:val="index 4"/>
    <w:basedOn w:val="Normal"/>
    <w:next w:val="Normal"/>
    <w:autoRedefine/>
    <w:rsid w:val="00B92760"/>
    <w:pPr>
      <w:spacing w:before="0"/>
      <w:ind w:left="960" w:hanging="240"/>
    </w:pPr>
  </w:style>
  <w:style w:type="paragraph" w:styleId="Index5">
    <w:name w:val="index 5"/>
    <w:basedOn w:val="Normal"/>
    <w:next w:val="Normal"/>
    <w:autoRedefine/>
    <w:rsid w:val="00B92760"/>
    <w:pPr>
      <w:spacing w:before="0"/>
      <w:ind w:left="1200" w:hanging="240"/>
    </w:pPr>
  </w:style>
  <w:style w:type="paragraph" w:styleId="Index6">
    <w:name w:val="index 6"/>
    <w:basedOn w:val="Normal"/>
    <w:next w:val="Normal"/>
    <w:autoRedefine/>
    <w:rsid w:val="00B92760"/>
    <w:pPr>
      <w:spacing w:before="0"/>
      <w:ind w:left="1440" w:hanging="240"/>
    </w:pPr>
  </w:style>
  <w:style w:type="paragraph" w:styleId="Index7">
    <w:name w:val="index 7"/>
    <w:basedOn w:val="Normal"/>
    <w:next w:val="Normal"/>
    <w:autoRedefine/>
    <w:rsid w:val="00B92760"/>
    <w:pPr>
      <w:spacing w:before="0"/>
      <w:ind w:left="1680" w:hanging="240"/>
    </w:pPr>
  </w:style>
  <w:style w:type="paragraph" w:styleId="Index8">
    <w:name w:val="index 8"/>
    <w:basedOn w:val="Normal"/>
    <w:next w:val="Normal"/>
    <w:autoRedefine/>
    <w:rsid w:val="00B92760"/>
    <w:pPr>
      <w:spacing w:before="0"/>
      <w:ind w:left="1920" w:hanging="240"/>
    </w:pPr>
  </w:style>
  <w:style w:type="paragraph" w:styleId="Index9">
    <w:name w:val="index 9"/>
    <w:basedOn w:val="Normal"/>
    <w:next w:val="Normal"/>
    <w:autoRedefine/>
    <w:rsid w:val="00B92760"/>
    <w:pPr>
      <w:spacing w:before="0"/>
      <w:ind w:left="2160" w:hanging="240"/>
    </w:pPr>
  </w:style>
  <w:style w:type="paragraph" w:styleId="IndexHeading">
    <w:name w:val="index heading"/>
    <w:basedOn w:val="Normal"/>
    <w:next w:val="Index1"/>
    <w:rsid w:val="00B9276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927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2760"/>
    <w:rPr>
      <w:b/>
      <w:bCs/>
      <w:i/>
      <w:iCs/>
      <w:color w:val="4F81BD" w:themeColor="accent1"/>
      <w:sz w:val="24"/>
    </w:rPr>
  </w:style>
  <w:style w:type="paragraph" w:styleId="List">
    <w:name w:val="List"/>
    <w:basedOn w:val="Normal"/>
    <w:rsid w:val="00B92760"/>
    <w:pPr>
      <w:ind w:left="360" w:hanging="360"/>
      <w:contextualSpacing/>
    </w:pPr>
  </w:style>
  <w:style w:type="paragraph" w:styleId="List2">
    <w:name w:val="List 2"/>
    <w:basedOn w:val="Normal"/>
    <w:rsid w:val="00B92760"/>
    <w:pPr>
      <w:ind w:left="720" w:hanging="360"/>
      <w:contextualSpacing/>
    </w:pPr>
  </w:style>
  <w:style w:type="paragraph" w:styleId="List3">
    <w:name w:val="List 3"/>
    <w:basedOn w:val="Normal"/>
    <w:rsid w:val="00B92760"/>
    <w:pPr>
      <w:ind w:left="1080" w:hanging="360"/>
      <w:contextualSpacing/>
    </w:pPr>
  </w:style>
  <w:style w:type="paragraph" w:styleId="List4">
    <w:name w:val="List 4"/>
    <w:basedOn w:val="Normal"/>
    <w:rsid w:val="00B92760"/>
    <w:pPr>
      <w:ind w:left="1440" w:hanging="360"/>
      <w:contextualSpacing/>
    </w:pPr>
  </w:style>
  <w:style w:type="paragraph" w:styleId="List5">
    <w:name w:val="List 5"/>
    <w:basedOn w:val="Normal"/>
    <w:rsid w:val="00B92760"/>
    <w:pPr>
      <w:ind w:left="1800" w:hanging="360"/>
      <w:contextualSpacing/>
    </w:pPr>
  </w:style>
  <w:style w:type="paragraph" w:styleId="ListBullet2">
    <w:name w:val="List Bullet 2"/>
    <w:basedOn w:val="Normal"/>
    <w:rsid w:val="00B92760"/>
    <w:pPr>
      <w:numPr>
        <w:numId w:val="17"/>
      </w:numPr>
      <w:contextualSpacing/>
    </w:pPr>
  </w:style>
  <w:style w:type="paragraph" w:styleId="ListBullet3">
    <w:name w:val="List Bullet 3"/>
    <w:basedOn w:val="Normal"/>
    <w:rsid w:val="00B92760"/>
    <w:pPr>
      <w:numPr>
        <w:numId w:val="18"/>
      </w:numPr>
      <w:contextualSpacing/>
    </w:pPr>
  </w:style>
  <w:style w:type="paragraph" w:styleId="ListBullet4">
    <w:name w:val="List Bullet 4"/>
    <w:basedOn w:val="Normal"/>
    <w:rsid w:val="00B92760"/>
    <w:pPr>
      <w:numPr>
        <w:numId w:val="19"/>
      </w:numPr>
      <w:contextualSpacing/>
    </w:pPr>
  </w:style>
  <w:style w:type="paragraph" w:styleId="ListBullet5">
    <w:name w:val="List Bullet 5"/>
    <w:basedOn w:val="Normal"/>
    <w:rsid w:val="00B92760"/>
    <w:pPr>
      <w:numPr>
        <w:numId w:val="20"/>
      </w:numPr>
      <w:contextualSpacing/>
    </w:pPr>
  </w:style>
  <w:style w:type="paragraph" w:styleId="ListContinue">
    <w:name w:val="List Continue"/>
    <w:basedOn w:val="Normal"/>
    <w:rsid w:val="00B92760"/>
    <w:pPr>
      <w:spacing w:after="120"/>
      <w:ind w:left="360"/>
      <w:contextualSpacing/>
    </w:pPr>
  </w:style>
  <w:style w:type="paragraph" w:styleId="ListContinue2">
    <w:name w:val="List Continue 2"/>
    <w:basedOn w:val="Normal"/>
    <w:rsid w:val="00B92760"/>
    <w:pPr>
      <w:spacing w:after="120"/>
      <w:ind w:left="720"/>
      <w:contextualSpacing/>
    </w:pPr>
  </w:style>
  <w:style w:type="paragraph" w:styleId="ListContinue3">
    <w:name w:val="List Continue 3"/>
    <w:basedOn w:val="Normal"/>
    <w:rsid w:val="00B92760"/>
    <w:pPr>
      <w:spacing w:after="120"/>
      <w:ind w:left="1080"/>
      <w:contextualSpacing/>
    </w:pPr>
  </w:style>
  <w:style w:type="paragraph" w:styleId="ListContinue4">
    <w:name w:val="List Continue 4"/>
    <w:basedOn w:val="Normal"/>
    <w:rsid w:val="00B92760"/>
    <w:pPr>
      <w:spacing w:after="120"/>
      <w:ind w:left="1440"/>
      <w:contextualSpacing/>
    </w:pPr>
  </w:style>
  <w:style w:type="paragraph" w:styleId="ListContinue5">
    <w:name w:val="List Continue 5"/>
    <w:basedOn w:val="Normal"/>
    <w:rsid w:val="00B92760"/>
    <w:pPr>
      <w:spacing w:after="120"/>
      <w:ind w:left="1800"/>
      <w:contextualSpacing/>
    </w:pPr>
  </w:style>
  <w:style w:type="paragraph" w:styleId="ListNumber3">
    <w:name w:val="List Number 3"/>
    <w:basedOn w:val="Normal"/>
    <w:rsid w:val="00B92760"/>
    <w:pPr>
      <w:numPr>
        <w:numId w:val="21"/>
      </w:numPr>
      <w:contextualSpacing/>
    </w:pPr>
  </w:style>
  <w:style w:type="paragraph" w:styleId="ListNumber4">
    <w:name w:val="List Number 4"/>
    <w:basedOn w:val="Normal"/>
    <w:rsid w:val="00B92760"/>
    <w:pPr>
      <w:numPr>
        <w:numId w:val="22"/>
      </w:numPr>
      <w:contextualSpacing/>
    </w:pPr>
  </w:style>
  <w:style w:type="paragraph" w:styleId="ListNumber5">
    <w:name w:val="List Number 5"/>
    <w:basedOn w:val="Normal"/>
    <w:rsid w:val="00B92760"/>
    <w:pPr>
      <w:numPr>
        <w:numId w:val="23"/>
      </w:numPr>
      <w:contextualSpacing/>
    </w:pPr>
  </w:style>
  <w:style w:type="paragraph" w:styleId="MacroText">
    <w:name w:val="macro"/>
    <w:link w:val="MacroTextChar"/>
    <w:rsid w:val="00B92760"/>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nsolas" w:hAnsi="Consolas"/>
    </w:rPr>
  </w:style>
  <w:style w:type="character" w:customStyle="1" w:styleId="MacroTextChar">
    <w:name w:val="Macro Text Char"/>
    <w:basedOn w:val="DefaultParagraphFont"/>
    <w:link w:val="MacroText"/>
    <w:rsid w:val="00B92760"/>
    <w:rPr>
      <w:rFonts w:ascii="Consolas" w:hAnsi="Consolas"/>
    </w:rPr>
  </w:style>
  <w:style w:type="paragraph" w:styleId="MessageHeader">
    <w:name w:val="Message Header"/>
    <w:basedOn w:val="Normal"/>
    <w:link w:val="MessageHeaderChar"/>
    <w:rsid w:val="00B9276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B92760"/>
    <w:rPr>
      <w:rFonts w:asciiTheme="majorHAnsi" w:eastAsiaTheme="majorEastAsia" w:hAnsiTheme="majorHAnsi" w:cstheme="majorBidi"/>
      <w:sz w:val="24"/>
      <w:szCs w:val="24"/>
      <w:shd w:val="pct20" w:color="auto" w:fill="auto"/>
    </w:rPr>
  </w:style>
  <w:style w:type="paragraph" w:styleId="NoSpacing">
    <w:name w:val="No Spacing"/>
    <w:uiPriority w:val="1"/>
    <w:qFormat/>
    <w:rsid w:val="00B92760"/>
    <w:pPr>
      <w:jc w:val="both"/>
    </w:pPr>
    <w:rPr>
      <w:sz w:val="24"/>
    </w:rPr>
  </w:style>
  <w:style w:type="paragraph" w:styleId="NormalWeb">
    <w:name w:val="Normal (Web)"/>
    <w:basedOn w:val="Normal"/>
    <w:rsid w:val="00B92760"/>
    <w:rPr>
      <w:szCs w:val="24"/>
    </w:rPr>
  </w:style>
  <w:style w:type="paragraph" w:styleId="NormalIndent">
    <w:name w:val="Normal Indent"/>
    <w:basedOn w:val="Normal"/>
    <w:rsid w:val="00B92760"/>
    <w:pPr>
      <w:ind w:left="720"/>
    </w:pPr>
  </w:style>
  <w:style w:type="paragraph" w:styleId="NoteHeading">
    <w:name w:val="Note Heading"/>
    <w:basedOn w:val="Normal"/>
    <w:next w:val="Normal"/>
    <w:link w:val="NoteHeadingChar"/>
    <w:rsid w:val="00B92760"/>
    <w:pPr>
      <w:spacing w:before="0"/>
    </w:pPr>
  </w:style>
  <w:style w:type="character" w:customStyle="1" w:styleId="NoteHeadingChar">
    <w:name w:val="Note Heading Char"/>
    <w:basedOn w:val="DefaultParagraphFont"/>
    <w:link w:val="NoteHeading"/>
    <w:rsid w:val="00B92760"/>
    <w:rPr>
      <w:sz w:val="24"/>
    </w:rPr>
  </w:style>
  <w:style w:type="paragraph" w:styleId="Quote">
    <w:name w:val="Quote"/>
    <w:basedOn w:val="Normal"/>
    <w:next w:val="Normal"/>
    <w:link w:val="QuoteChar"/>
    <w:uiPriority w:val="29"/>
    <w:qFormat/>
    <w:rsid w:val="00B92760"/>
    <w:rPr>
      <w:i/>
      <w:iCs/>
      <w:color w:val="000000" w:themeColor="text1"/>
    </w:rPr>
  </w:style>
  <w:style w:type="character" w:customStyle="1" w:styleId="QuoteChar">
    <w:name w:val="Quote Char"/>
    <w:basedOn w:val="DefaultParagraphFont"/>
    <w:link w:val="Quote"/>
    <w:uiPriority w:val="29"/>
    <w:rsid w:val="00B92760"/>
    <w:rPr>
      <w:i/>
      <w:iCs/>
      <w:color w:val="000000" w:themeColor="text1"/>
      <w:sz w:val="24"/>
    </w:rPr>
  </w:style>
  <w:style w:type="paragraph" w:styleId="Salutation">
    <w:name w:val="Salutation"/>
    <w:basedOn w:val="Normal"/>
    <w:next w:val="Normal"/>
    <w:link w:val="SalutationChar"/>
    <w:rsid w:val="00B92760"/>
  </w:style>
  <w:style w:type="character" w:customStyle="1" w:styleId="SalutationChar">
    <w:name w:val="Salutation Char"/>
    <w:basedOn w:val="DefaultParagraphFont"/>
    <w:link w:val="Salutation"/>
    <w:rsid w:val="00B92760"/>
    <w:rPr>
      <w:sz w:val="24"/>
    </w:rPr>
  </w:style>
  <w:style w:type="paragraph" w:styleId="Signature">
    <w:name w:val="Signature"/>
    <w:basedOn w:val="Normal"/>
    <w:link w:val="SignatureChar"/>
    <w:rsid w:val="00B92760"/>
    <w:pPr>
      <w:spacing w:before="0"/>
      <w:ind w:left="4320"/>
    </w:pPr>
  </w:style>
  <w:style w:type="character" w:customStyle="1" w:styleId="SignatureChar">
    <w:name w:val="Signature Char"/>
    <w:basedOn w:val="DefaultParagraphFont"/>
    <w:link w:val="Signature"/>
    <w:rsid w:val="00B92760"/>
    <w:rPr>
      <w:sz w:val="24"/>
    </w:rPr>
  </w:style>
  <w:style w:type="paragraph" w:styleId="Subtitle">
    <w:name w:val="Subtitle"/>
    <w:basedOn w:val="Normal"/>
    <w:next w:val="Normal"/>
    <w:link w:val="SubtitleChar"/>
    <w:qFormat/>
    <w:rsid w:val="00B9276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9276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92760"/>
    <w:pPr>
      <w:ind w:left="240" w:hanging="240"/>
    </w:pPr>
  </w:style>
  <w:style w:type="paragraph" w:styleId="Title">
    <w:name w:val="Title"/>
    <w:basedOn w:val="Normal"/>
    <w:next w:val="Normal"/>
    <w:link w:val="TitleChar"/>
    <w:qFormat/>
    <w:rsid w:val="00B9276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9276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B92760"/>
    <w:rPr>
      <w:rFonts w:asciiTheme="majorHAnsi" w:eastAsiaTheme="majorEastAsia" w:hAnsiTheme="majorHAnsi" w:cstheme="majorBidi"/>
      <w:b/>
      <w:bCs/>
      <w:szCs w:val="24"/>
    </w:rPr>
  </w:style>
  <w:style w:type="paragraph" w:styleId="Revision">
    <w:name w:val="Revision"/>
    <w:hidden/>
    <w:uiPriority w:val="99"/>
    <w:semiHidden/>
    <w:rsid w:val="00E43FAD"/>
    <w:rPr>
      <w:sz w:val="24"/>
    </w:rPr>
  </w:style>
  <w:style w:type="character" w:customStyle="1" w:styleId="Heading2Char">
    <w:name w:val="Heading 2 Char"/>
    <w:basedOn w:val="DefaultParagraphFont"/>
    <w:link w:val="Heading2"/>
    <w:rsid w:val="00C21426"/>
    <w:rPr>
      <w:rFonts w:ascii="Arial" w:hAnsi="Arial"/>
      <w:b/>
      <w:sz w:val="26"/>
    </w:rPr>
  </w:style>
  <w:style w:type="character" w:customStyle="1" w:styleId="Heading3Char">
    <w:name w:val="Heading 3 Char"/>
    <w:basedOn w:val="DefaultParagraphFont"/>
    <w:link w:val="Heading3"/>
    <w:rsid w:val="005271B8"/>
    <w:rPr>
      <w:rFonts w:ascii="Arial" w:hAnsi="Arial"/>
      <w:b/>
      <w:sz w:val="24"/>
    </w:rPr>
  </w:style>
  <w:style w:type="paragraph" w:customStyle="1" w:styleId="line862">
    <w:name w:val="line862"/>
    <w:basedOn w:val="Normal"/>
    <w:rsid w:val="00882ED7"/>
    <w:pPr>
      <w:spacing w:before="100" w:beforeAutospacing="1" w:after="100" w:afterAutospacing="1"/>
      <w:jc w:val="left"/>
    </w:pPr>
    <w:rPr>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5271B8"/>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qFormat/>
    <w:pPr>
      <w:jc w:val="left"/>
    </w:pPr>
    <w:rPr>
      <w:rFonts w:asciiTheme="minorHAnsi" w:hAnsiTheme="minorHAnsi"/>
      <w:b/>
      <w:szCs w:val="24"/>
    </w:rPr>
  </w:style>
  <w:style w:type="paragraph" w:styleId="TOC2">
    <w:name w:val="toc 2"/>
    <w:basedOn w:val="Normal"/>
    <w:next w:val="Normal"/>
    <w:autoRedefine/>
    <w:uiPriority w:val="39"/>
    <w:qFormat/>
    <w:pPr>
      <w:spacing w:before="0"/>
      <w:ind w:left="240"/>
      <w:jc w:val="left"/>
    </w:pPr>
    <w:rPr>
      <w:rFonts w:asciiTheme="minorHAnsi" w:hAnsiTheme="minorHAnsi"/>
      <w:b/>
      <w:sz w:val="22"/>
      <w:szCs w:val="22"/>
    </w:rPr>
  </w:style>
  <w:style w:type="paragraph" w:styleId="TOC3">
    <w:name w:val="toc 3"/>
    <w:basedOn w:val="Normal"/>
    <w:next w:val="Normal"/>
    <w:autoRedefine/>
    <w:uiPriority w:val="39"/>
    <w:qFormat/>
    <w:pPr>
      <w:spacing w:before="0"/>
      <w:ind w:left="480"/>
      <w:jc w:val="left"/>
    </w:pPr>
    <w:rPr>
      <w:rFonts w:asciiTheme="minorHAnsi" w:hAnsiTheme="minorHAnsi"/>
      <w:sz w:val="22"/>
      <w:szCs w:val="22"/>
    </w:rPr>
  </w:style>
  <w:style w:type="paragraph" w:styleId="TOC4">
    <w:name w:val="toc 4"/>
    <w:basedOn w:val="Normal"/>
    <w:next w:val="Normal"/>
    <w:autoRedefine/>
    <w:uiPriority w:val="39"/>
    <w:pPr>
      <w:spacing w:before="0"/>
      <w:ind w:left="720"/>
      <w:jc w:val="left"/>
    </w:pPr>
    <w:rPr>
      <w:rFonts w:asciiTheme="minorHAnsi" w:hAnsiTheme="minorHAnsi"/>
      <w:sz w:val="20"/>
    </w:rPr>
  </w:style>
  <w:style w:type="paragraph" w:styleId="TOC5">
    <w:name w:val="toc 5"/>
    <w:basedOn w:val="Normal"/>
    <w:next w:val="Normal"/>
    <w:autoRedefine/>
    <w:semiHidden/>
    <w:pPr>
      <w:spacing w:before="0"/>
      <w:ind w:left="960"/>
      <w:jc w:val="left"/>
    </w:pPr>
    <w:rPr>
      <w:rFonts w:asciiTheme="minorHAnsi" w:hAnsiTheme="minorHAnsi"/>
      <w:sz w:val="20"/>
    </w:rPr>
  </w:style>
  <w:style w:type="paragraph" w:styleId="TOC6">
    <w:name w:val="toc 6"/>
    <w:basedOn w:val="Normal"/>
    <w:next w:val="Normal"/>
    <w:autoRedefine/>
    <w:semiHidden/>
    <w:pPr>
      <w:spacing w:before="0"/>
      <w:ind w:left="1200"/>
      <w:jc w:val="left"/>
    </w:pPr>
    <w:rPr>
      <w:rFonts w:asciiTheme="minorHAnsi" w:hAnsiTheme="minorHAnsi"/>
      <w:sz w:val="20"/>
    </w:rPr>
  </w:style>
  <w:style w:type="paragraph" w:styleId="TOC7">
    <w:name w:val="toc 7"/>
    <w:basedOn w:val="Normal"/>
    <w:next w:val="Normal"/>
    <w:autoRedefine/>
    <w:semiHidden/>
    <w:pPr>
      <w:spacing w:before="0"/>
      <w:ind w:left="1440"/>
      <w:jc w:val="left"/>
    </w:pPr>
    <w:rPr>
      <w:rFonts w:asciiTheme="minorHAnsi" w:hAnsiTheme="minorHAnsi"/>
      <w:sz w:val="20"/>
    </w:rPr>
  </w:style>
  <w:style w:type="paragraph" w:styleId="TOC8">
    <w:name w:val="toc 8"/>
    <w:basedOn w:val="Normal"/>
    <w:next w:val="Normal"/>
    <w:autoRedefine/>
    <w:semiHidden/>
    <w:pPr>
      <w:spacing w:before="0"/>
      <w:ind w:left="1680"/>
      <w:jc w:val="left"/>
    </w:pPr>
    <w:rPr>
      <w:rFonts w:asciiTheme="minorHAnsi" w:hAnsiTheme="minorHAnsi"/>
      <w:sz w:val="20"/>
    </w:rPr>
  </w:style>
  <w:style w:type="paragraph" w:styleId="TOC9">
    <w:name w:val="toc 9"/>
    <w:basedOn w:val="Normal"/>
    <w:next w:val="Normal"/>
    <w:autoRedefine/>
    <w:semiHidden/>
    <w:pPr>
      <w:spacing w:before="0"/>
      <w:ind w:left="1920"/>
      <w:jc w:val="left"/>
    </w:pPr>
    <w:rPr>
      <w:rFonts w:asciiTheme="minorHAnsi" w:hAnsiTheme="minorHAnsi"/>
      <w:sz w:val="20"/>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EndnoteText">
    <w:name w:val="endnote text"/>
    <w:basedOn w:val="Normal"/>
    <w:link w:val="EndnoteTextChar"/>
    <w:rsid w:val="0019634E"/>
    <w:rPr>
      <w:sz w:val="20"/>
    </w:rPr>
  </w:style>
  <w:style w:type="character" w:customStyle="1" w:styleId="EndnoteTextChar">
    <w:name w:val="Endnote Text Char"/>
    <w:basedOn w:val="DefaultParagraphFont"/>
    <w:link w:val="EndnoteText"/>
    <w:rsid w:val="0019634E"/>
  </w:style>
  <w:style w:type="character" w:styleId="EndnoteReference">
    <w:name w:val="endnote reference"/>
    <w:basedOn w:val="DefaultParagraphFont"/>
    <w:rsid w:val="0019634E"/>
    <w:rPr>
      <w:vertAlign w:val="superscript"/>
    </w:rPr>
  </w:style>
  <w:style w:type="character" w:styleId="PlaceholderText">
    <w:name w:val="Placeholder Text"/>
    <w:basedOn w:val="DefaultParagraphFont"/>
    <w:uiPriority w:val="99"/>
    <w:semiHidden/>
    <w:rsid w:val="000C7B52"/>
    <w:rPr>
      <w:color w:val="808080"/>
    </w:rPr>
  </w:style>
  <w:style w:type="paragraph" w:styleId="BalloonText">
    <w:name w:val="Balloon Text"/>
    <w:basedOn w:val="Normal"/>
    <w:link w:val="BalloonTextChar"/>
    <w:rsid w:val="000C7B52"/>
    <w:pPr>
      <w:spacing w:before="0"/>
    </w:pPr>
    <w:rPr>
      <w:rFonts w:ascii="Tahoma" w:hAnsi="Tahoma" w:cs="Tahoma"/>
      <w:sz w:val="16"/>
      <w:szCs w:val="16"/>
    </w:rPr>
  </w:style>
  <w:style w:type="character" w:customStyle="1" w:styleId="BalloonTextChar">
    <w:name w:val="Balloon Text Char"/>
    <w:basedOn w:val="DefaultParagraphFont"/>
    <w:link w:val="BalloonText"/>
    <w:rsid w:val="000C7B52"/>
    <w:rPr>
      <w:rFonts w:ascii="Tahoma" w:hAnsi="Tahoma" w:cs="Tahoma"/>
      <w:sz w:val="16"/>
      <w:szCs w:val="16"/>
    </w:rPr>
  </w:style>
  <w:style w:type="paragraph" w:styleId="ListParagraph">
    <w:name w:val="List Paragraph"/>
    <w:basedOn w:val="Normal"/>
    <w:uiPriority w:val="34"/>
    <w:qFormat/>
    <w:rsid w:val="00477FF3"/>
    <w:pPr>
      <w:ind w:left="720"/>
      <w:contextualSpacing/>
    </w:pPr>
  </w:style>
  <w:style w:type="paragraph" w:styleId="TOCHeading">
    <w:name w:val="TOC Heading"/>
    <w:basedOn w:val="Heading1"/>
    <w:next w:val="Normal"/>
    <w:uiPriority w:val="39"/>
    <w:unhideWhenUsed/>
    <w:qFormat/>
    <w:rsid w:val="00F4247D"/>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 w:type="paragraph" w:styleId="Bibliography">
    <w:name w:val="Bibliography"/>
    <w:basedOn w:val="Normal"/>
    <w:next w:val="Normal"/>
    <w:uiPriority w:val="37"/>
    <w:unhideWhenUsed/>
    <w:rsid w:val="00895D4D"/>
  </w:style>
  <w:style w:type="table" w:styleId="TableGrid">
    <w:name w:val="Table Grid"/>
    <w:basedOn w:val="TableNormal"/>
    <w:rsid w:val="00500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0168E1"/>
    <w:rPr>
      <w:color w:val="800080" w:themeColor="followedHyperlink"/>
      <w:u w:val="single"/>
    </w:rPr>
  </w:style>
  <w:style w:type="paragraph" w:styleId="BlockText">
    <w:name w:val="Block Text"/>
    <w:basedOn w:val="Normal"/>
    <w:rsid w:val="00B9276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B92760"/>
    <w:pPr>
      <w:spacing w:after="120" w:line="480" w:lineRule="auto"/>
    </w:pPr>
  </w:style>
  <w:style w:type="character" w:customStyle="1" w:styleId="BodyText2Char">
    <w:name w:val="Body Text 2 Char"/>
    <w:basedOn w:val="DefaultParagraphFont"/>
    <w:link w:val="BodyText2"/>
    <w:rsid w:val="00B92760"/>
    <w:rPr>
      <w:sz w:val="24"/>
    </w:rPr>
  </w:style>
  <w:style w:type="paragraph" w:styleId="BodyText3">
    <w:name w:val="Body Text 3"/>
    <w:basedOn w:val="Normal"/>
    <w:link w:val="BodyText3Char"/>
    <w:rsid w:val="00B92760"/>
    <w:pPr>
      <w:spacing w:after="120"/>
    </w:pPr>
    <w:rPr>
      <w:sz w:val="16"/>
      <w:szCs w:val="16"/>
    </w:rPr>
  </w:style>
  <w:style w:type="character" w:customStyle="1" w:styleId="BodyText3Char">
    <w:name w:val="Body Text 3 Char"/>
    <w:basedOn w:val="DefaultParagraphFont"/>
    <w:link w:val="BodyText3"/>
    <w:rsid w:val="00B92760"/>
    <w:rPr>
      <w:sz w:val="16"/>
      <w:szCs w:val="16"/>
    </w:rPr>
  </w:style>
  <w:style w:type="paragraph" w:styleId="BodyTextFirstIndent">
    <w:name w:val="Body Text First Indent"/>
    <w:basedOn w:val="BodyText"/>
    <w:link w:val="BodyTextFirstIndentChar"/>
    <w:rsid w:val="00B92760"/>
    <w:pPr>
      <w:ind w:firstLine="360"/>
      <w:jc w:val="both"/>
    </w:pPr>
    <w:rPr>
      <w:rFonts w:ascii="Times New Roman" w:hAnsi="Times New Roman"/>
      <w:sz w:val="24"/>
    </w:rPr>
  </w:style>
  <w:style w:type="character" w:customStyle="1" w:styleId="BodyTextChar">
    <w:name w:val="Body Text Char"/>
    <w:basedOn w:val="DefaultParagraphFont"/>
    <w:link w:val="BodyText"/>
    <w:rsid w:val="00B92760"/>
    <w:rPr>
      <w:rFonts w:ascii="Times" w:hAnsi="Times"/>
      <w:sz w:val="40"/>
    </w:rPr>
  </w:style>
  <w:style w:type="character" w:customStyle="1" w:styleId="BodyTextFirstIndentChar">
    <w:name w:val="Body Text First Indent Char"/>
    <w:basedOn w:val="BodyTextChar"/>
    <w:link w:val="BodyTextFirstIndent"/>
    <w:rsid w:val="00B92760"/>
    <w:rPr>
      <w:rFonts w:ascii="Times" w:hAnsi="Times"/>
      <w:sz w:val="24"/>
    </w:rPr>
  </w:style>
  <w:style w:type="paragraph" w:styleId="BodyTextIndent">
    <w:name w:val="Body Text Indent"/>
    <w:basedOn w:val="Normal"/>
    <w:link w:val="BodyTextIndentChar"/>
    <w:rsid w:val="00B92760"/>
    <w:pPr>
      <w:spacing w:after="120"/>
      <w:ind w:left="360"/>
    </w:pPr>
  </w:style>
  <w:style w:type="character" w:customStyle="1" w:styleId="BodyTextIndentChar">
    <w:name w:val="Body Text Indent Char"/>
    <w:basedOn w:val="DefaultParagraphFont"/>
    <w:link w:val="BodyTextIndent"/>
    <w:rsid w:val="00B92760"/>
    <w:rPr>
      <w:sz w:val="24"/>
    </w:rPr>
  </w:style>
  <w:style w:type="paragraph" w:styleId="BodyTextFirstIndent2">
    <w:name w:val="Body Text First Indent 2"/>
    <w:basedOn w:val="BodyTextIndent"/>
    <w:link w:val="BodyTextFirstIndent2Char"/>
    <w:rsid w:val="00B92760"/>
    <w:pPr>
      <w:spacing w:after="0"/>
      <w:ind w:firstLine="360"/>
    </w:pPr>
  </w:style>
  <w:style w:type="character" w:customStyle="1" w:styleId="BodyTextFirstIndent2Char">
    <w:name w:val="Body Text First Indent 2 Char"/>
    <w:basedOn w:val="BodyTextIndentChar"/>
    <w:link w:val="BodyTextFirstIndent2"/>
    <w:rsid w:val="00B92760"/>
    <w:rPr>
      <w:sz w:val="24"/>
    </w:rPr>
  </w:style>
  <w:style w:type="paragraph" w:styleId="BodyTextIndent2">
    <w:name w:val="Body Text Indent 2"/>
    <w:basedOn w:val="Normal"/>
    <w:link w:val="BodyTextIndent2Char"/>
    <w:rsid w:val="00B92760"/>
    <w:pPr>
      <w:spacing w:after="120" w:line="480" w:lineRule="auto"/>
      <w:ind w:left="360"/>
    </w:pPr>
  </w:style>
  <w:style w:type="character" w:customStyle="1" w:styleId="BodyTextIndent2Char">
    <w:name w:val="Body Text Indent 2 Char"/>
    <w:basedOn w:val="DefaultParagraphFont"/>
    <w:link w:val="BodyTextIndent2"/>
    <w:rsid w:val="00B92760"/>
    <w:rPr>
      <w:sz w:val="24"/>
    </w:rPr>
  </w:style>
  <w:style w:type="paragraph" w:styleId="BodyTextIndent3">
    <w:name w:val="Body Text Indent 3"/>
    <w:basedOn w:val="Normal"/>
    <w:link w:val="BodyTextIndent3Char"/>
    <w:rsid w:val="00B92760"/>
    <w:pPr>
      <w:spacing w:after="120"/>
      <w:ind w:left="360"/>
    </w:pPr>
    <w:rPr>
      <w:sz w:val="16"/>
      <w:szCs w:val="16"/>
    </w:rPr>
  </w:style>
  <w:style w:type="character" w:customStyle="1" w:styleId="BodyTextIndent3Char">
    <w:name w:val="Body Text Indent 3 Char"/>
    <w:basedOn w:val="DefaultParagraphFont"/>
    <w:link w:val="BodyTextIndent3"/>
    <w:rsid w:val="00B92760"/>
    <w:rPr>
      <w:sz w:val="16"/>
      <w:szCs w:val="16"/>
    </w:rPr>
  </w:style>
  <w:style w:type="paragraph" w:styleId="Closing">
    <w:name w:val="Closing"/>
    <w:basedOn w:val="Normal"/>
    <w:link w:val="ClosingChar"/>
    <w:rsid w:val="00B92760"/>
    <w:pPr>
      <w:spacing w:before="0"/>
      <w:ind w:left="4320"/>
    </w:pPr>
  </w:style>
  <w:style w:type="character" w:customStyle="1" w:styleId="ClosingChar">
    <w:name w:val="Closing Char"/>
    <w:basedOn w:val="DefaultParagraphFont"/>
    <w:link w:val="Closing"/>
    <w:rsid w:val="00B92760"/>
    <w:rPr>
      <w:sz w:val="24"/>
    </w:rPr>
  </w:style>
  <w:style w:type="paragraph" w:styleId="CommentText">
    <w:name w:val="annotation text"/>
    <w:basedOn w:val="Normal"/>
    <w:link w:val="CommentTextChar"/>
    <w:rsid w:val="00B92760"/>
    <w:rPr>
      <w:sz w:val="20"/>
    </w:rPr>
  </w:style>
  <w:style w:type="character" w:customStyle="1" w:styleId="CommentTextChar">
    <w:name w:val="Comment Text Char"/>
    <w:basedOn w:val="DefaultParagraphFont"/>
    <w:link w:val="CommentText"/>
    <w:rsid w:val="00B92760"/>
  </w:style>
  <w:style w:type="paragraph" w:styleId="CommentSubject">
    <w:name w:val="annotation subject"/>
    <w:basedOn w:val="CommentText"/>
    <w:next w:val="CommentText"/>
    <w:link w:val="CommentSubjectChar"/>
    <w:rsid w:val="00B92760"/>
    <w:rPr>
      <w:b/>
      <w:bCs/>
    </w:rPr>
  </w:style>
  <w:style w:type="character" w:customStyle="1" w:styleId="CommentSubjectChar">
    <w:name w:val="Comment Subject Char"/>
    <w:basedOn w:val="CommentTextChar"/>
    <w:link w:val="CommentSubject"/>
    <w:rsid w:val="00B92760"/>
    <w:rPr>
      <w:b/>
      <w:bCs/>
    </w:rPr>
  </w:style>
  <w:style w:type="paragraph" w:styleId="Date">
    <w:name w:val="Date"/>
    <w:basedOn w:val="Normal"/>
    <w:next w:val="Normal"/>
    <w:link w:val="DateChar"/>
    <w:rsid w:val="00B92760"/>
  </w:style>
  <w:style w:type="character" w:customStyle="1" w:styleId="DateChar">
    <w:name w:val="Date Char"/>
    <w:basedOn w:val="DefaultParagraphFont"/>
    <w:link w:val="Date"/>
    <w:rsid w:val="00B92760"/>
    <w:rPr>
      <w:sz w:val="24"/>
    </w:rPr>
  </w:style>
  <w:style w:type="paragraph" w:styleId="E-mailSignature">
    <w:name w:val="E-mail Signature"/>
    <w:basedOn w:val="Normal"/>
    <w:link w:val="E-mailSignatureChar"/>
    <w:rsid w:val="00B92760"/>
    <w:pPr>
      <w:spacing w:before="0"/>
    </w:pPr>
  </w:style>
  <w:style w:type="character" w:customStyle="1" w:styleId="E-mailSignatureChar">
    <w:name w:val="E-mail Signature Char"/>
    <w:basedOn w:val="DefaultParagraphFont"/>
    <w:link w:val="E-mailSignature"/>
    <w:rsid w:val="00B92760"/>
    <w:rPr>
      <w:sz w:val="24"/>
    </w:rPr>
  </w:style>
  <w:style w:type="paragraph" w:styleId="EnvelopeAddress">
    <w:name w:val="envelope address"/>
    <w:basedOn w:val="Normal"/>
    <w:rsid w:val="00B92760"/>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B92760"/>
    <w:pPr>
      <w:spacing w:before="0"/>
    </w:pPr>
    <w:rPr>
      <w:rFonts w:asciiTheme="majorHAnsi" w:eastAsiaTheme="majorEastAsia" w:hAnsiTheme="majorHAnsi" w:cstheme="majorBidi"/>
      <w:sz w:val="20"/>
    </w:rPr>
  </w:style>
  <w:style w:type="paragraph" w:styleId="HTMLAddress">
    <w:name w:val="HTML Address"/>
    <w:basedOn w:val="Normal"/>
    <w:link w:val="HTMLAddressChar"/>
    <w:rsid w:val="00B92760"/>
    <w:pPr>
      <w:spacing w:before="0"/>
    </w:pPr>
    <w:rPr>
      <w:i/>
      <w:iCs/>
    </w:rPr>
  </w:style>
  <w:style w:type="character" w:customStyle="1" w:styleId="HTMLAddressChar">
    <w:name w:val="HTML Address Char"/>
    <w:basedOn w:val="DefaultParagraphFont"/>
    <w:link w:val="HTMLAddress"/>
    <w:rsid w:val="00B92760"/>
    <w:rPr>
      <w:i/>
      <w:iCs/>
      <w:sz w:val="24"/>
    </w:rPr>
  </w:style>
  <w:style w:type="paragraph" w:styleId="HTMLPreformatted">
    <w:name w:val="HTML Preformatted"/>
    <w:basedOn w:val="Normal"/>
    <w:link w:val="HTMLPreformattedChar"/>
    <w:rsid w:val="00B92760"/>
    <w:pPr>
      <w:spacing w:before="0"/>
    </w:pPr>
    <w:rPr>
      <w:rFonts w:ascii="Consolas" w:hAnsi="Consolas"/>
      <w:sz w:val="20"/>
    </w:rPr>
  </w:style>
  <w:style w:type="character" w:customStyle="1" w:styleId="HTMLPreformattedChar">
    <w:name w:val="HTML Preformatted Char"/>
    <w:basedOn w:val="DefaultParagraphFont"/>
    <w:link w:val="HTMLPreformatted"/>
    <w:rsid w:val="00B92760"/>
    <w:rPr>
      <w:rFonts w:ascii="Consolas" w:hAnsi="Consolas"/>
    </w:rPr>
  </w:style>
  <w:style w:type="paragraph" w:styleId="Index1">
    <w:name w:val="index 1"/>
    <w:basedOn w:val="Normal"/>
    <w:next w:val="Normal"/>
    <w:autoRedefine/>
    <w:rsid w:val="00B92760"/>
    <w:pPr>
      <w:spacing w:before="0"/>
      <w:ind w:left="240" w:hanging="240"/>
    </w:pPr>
  </w:style>
  <w:style w:type="paragraph" w:styleId="Index2">
    <w:name w:val="index 2"/>
    <w:basedOn w:val="Normal"/>
    <w:next w:val="Normal"/>
    <w:autoRedefine/>
    <w:rsid w:val="00B92760"/>
    <w:pPr>
      <w:spacing w:before="0"/>
      <w:ind w:left="480" w:hanging="240"/>
    </w:pPr>
  </w:style>
  <w:style w:type="paragraph" w:styleId="Index3">
    <w:name w:val="index 3"/>
    <w:basedOn w:val="Normal"/>
    <w:next w:val="Normal"/>
    <w:autoRedefine/>
    <w:rsid w:val="00B92760"/>
    <w:pPr>
      <w:spacing w:before="0"/>
      <w:ind w:left="720" w:hanging="240"/>
    </w:pPr>
  </w:style>
  <w:style w:type="paragraph" w:styleId="Index4">
    <w:name w:val="index 4"/>
    <w:basedOn w:val="Normal"/>
    <w:next w:val="Normal"/>
    <w:autoRedefine/>
    <w:rsid w:val="00B92760"/>
    <w:pPr>
      <w:spacing w:before="0"/>
      <w:ind w:left="960" w:hanging="240"/>
    </w:pPr>
  </w:style>
  <w:style w:type="paragraph" w:styleId="Index5">
    <w:name w:val="index 5"/>
    <w:basedOn w:val="Normal"/>
    <w:next w:val="Normal"/>
    <w:autoRedefine/>
    <w:rsid w:val="00B92760"/>
    <w:pPr>
      <w:spacing w:before="0"/>
      <w:ind w:left="1200" w:hanging="240"/>
    </w:pPr>
  </w:style>
  <w:style w:type="paragraph" w:styleId="Index6">
    <w:name w:val="index 6"/>
    <w:basedOn w:val="Normal"/>
    <w:next w:val="Normal"/>
    <w:autoRedefine/>
    <w:rsid w:val="00B92760"/>
    <w:pPr>
      <w:spacing w:before="0"/>
      <w:ind w:left="1440" w:hanging="240"/>
    </w:pPr>
  </w:style>
  <w:style w:type="paragraph" w:styleId="Index7">
    <w:name w:val="index 7"/>
    <w:basedOn w:val="Normal"/>
    <w:next w:val="Normal"/>
    <w:autoRedefine/>
    <w:rsid w:val="00B92760"/>
    <w:pPr>
      <w:spacing w:before="0"/>
      <w:ind w:left="1680" w:hanging="240"/>
    </w:pPr>
  </w:style>
  <w:style w:type="paragraph" w:styleId="Index8">
    <w:name w:val="index 8"/>
    <w:basedOn w:val="Normal"/>
    <w:next w:val="Normal"/>
    <w:autoRedefine/>
    <w:rsid w:val="00B92760"/>
    <w:pPr>
      <w:spacing w:before="0"/>
      <w:ind w:left="1920" w:hanging="240"/>
    </w:pPr>
  </w:style>
  <w:style w:type="paragraph" w:styleId="Index9">
    <w:name w:val="index 9"/>
    <w:basedOn w:val="Normal"/>
    <w:next w:val="Normal"/>
    <w:autoRedefine/>
    <w:rsid w:val="00B92760"/>
    <w:pPr>
      <w:spacing w:before="0"/>
      <w:ind w:left="2160" w:hanging="240"/>
    </w:pPr>
  </w:style>
  <w:style w:type="paragraph" w:styleId="IndexHeading">
    <w:name w:val="index heading"/>
    <w:basedOn w:val="Normal"/>
    <w:next w:val="Index1"/>
    <w:rsid w:val="00B9276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9276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2760"/>
    <w:rPr>
      <w:b/>
      <w:bCs/>
      <w:i/>
      <w:iCs/>
      <w:color w:val="4F81BD" w:themeColor="accent1"/>
      <w:sz w:val="24"/>
    </w:rPr>
  </w:style>
  <w:style w:type="paragraph" w:styleId="List">
    <w:name w:val="List"/>
    <w:basedOn w:val="Normal"/>
    <w:rsid w:val="00B92760"/>
    <w:pPr>
      <w:ind w:left="360" w:hanging="360"/>
      <w:contextualSpacing/>
    </w:pPr>
  </w:style>
  <w:style w:type="paragraph" w:styleId="List2">
    <w:name w:val="List 2"/>
    <w:basedOn w:val="Normal"/>
    <w:rsid w:val="00B92760"/>
    <w:pPr>
      <w:ind w:left="720" w:hanging="360"/>
      <w:contextualSpacing/>
    </w:pPr>
  </w:style>
  <w:style w:type="paragraph" w:styleId="List3">
    <w:name w:val="List 3"/>
    <w:basedOn w:val="Normal"/>
    <w:rsid w:val="00B92760"/>
    <w:pPr>
      <w:ind w:left="1080" w:hanging="360"/>
      <w:contextualSpacing/>
    </w:pPr>
  </w:style>
  <w:style w:type="paragraph" w:styleId="List4">
    <w:name w:val="List 4"/>
    <w:basedOn w:val="Normal"/>
    <w:rsid w:val="00B92760"/>
    <w:pPr>
      <w:ind w:left="1440" w:hanging="360"/>
      <w:contextualSpacing/>
    </w:pPr>
  </w:style>
  <w:style w:type="paragraph" w:styleId="List5">
    <w:name w:val="List 5"/>
    <w:basedOn w:val="Normal"/>
    <w:rsid w:val="00B92760"/>
    <w:pPr>
      <w:ind w:left="1800" w:hanging="360"/>
      <w:contextualSpacing/>
    </w:pPr>
  </w:style>
  <w:style w:type="paragraph" w:styleId="ListBullet2">
    <w:name w:val="List Bullet 2"/>
    <w:basedOn w:val="Normal"/>
    <w:rsid w:val="00B92760"/>
    <w:pPr>
      <w:numPr>
        <w:numId w:val="17"/>
      </w:numPr>
      <w:contextualSpacing/>
    </w:pPr>
  </w:style>
  <w:style w:type="paragraph" w:styleId="ListBullet3">
    <w:name w:val="List Bullet 3"/>
    <w:basedOn w:val="Normal"/>
    <w:rsid w:val="00B92760"/>
    <w:pPr>
      <w:numPr>
        <w:numId w:val="18"/>
      </w:numPr>
      <w:contextualSpacing/>
    </w:pPr>
  </w:style>
  <w:style w:type="paragraph" w:styleId="ListBullet4">
    <w:name w:val="List Bullet 4"/>
    <w:basedOn w:val="Normal"/>
    <w:rsid w:val="00B92760"/>
    <w:pPr>
      <w:numPr>
        <w:numId w:val="19"/>
      </w:numPr>
      <w:contextualSpacing/>
    </w:pPr>
  </w:style>
  <w:style w:type="paragraph" w:styleId="ListBullet5">
    <w:name w:val="List Bullet 5"/>
    <w:basedOn w:val="Normal"/>
    <w:rsid w:val="00B92760"/>
    <w:pPr>
      <w:numPr>
        <w:numId w:val="20"/>
      </w:numPr>
      <w:contextualSpacing/>
    </w:pPr>
  </w:style>
  <w:style w:type="paragraph" w:styleId="ListContinue">
    <w:name w:val="List Continue"/>
    <w:basedOn w:val="Normal"/>
    <w:rsid w:val="00B92760"/>
    <w:pPr>
      <w:spacing w:after="120"/>
      <w:ind w:left="360"/>
      <w:contextualSpacing/>
    </w:pPr>
  </w:style>
  <w:style w:type="paragraph" w:styleId="ListContinue2">
    <w:name w:val="List Continue 2"/>
    <w:basedOn w:val="Normal"/>
    <w:rsid w:val="00B92760"/>
    <w:pPr>
      <w:spacing w:after="120"/>
      <w:ind w:left="720"/>
      <w:contextualSpacing/>
    </w:pPr>
  </w:style>
  <w:style w:type="paragraph" w:styleId="ListContinue3">
    <w:name w:val="List Continue 3"/>
    <w:basedOn w:val="Normal"/>
    <w:rsid w:val="00B92760"/>
    <w:pPr>
      <w:spacing w:after="120"/>
      <w:ind w:left="1080"/>
      <w:contextualSpacing/>
    </w:pPr>
  </w:style>
  <w:style w:type="paragraph" w:styleId="ListContinue4">
    <w:name w:val="List Continue 4"/>
    <w:basedOn w:val="Normal"/>
    <w:rsid w:val="00B92760"/>
    <w:pPr>
      <w:spacing w:after="120"/>
      <w:ind w:left="1440"/>
      <w:contextualSpacing/>
    </w:pPr>
  </w:style>
  <w:style w:type="paragraph" w:styleId="ListContinue5">
    <w:name w:val="List Continue 5"/>
    <w:basedOn w:val="Normal"/>
    <w:rsid w:val="00B92760"/>
    <w:pPr>
      <w:spacing w:after="120"/>
      <w:ind w:left="1800"/>
      <w:contextualSpacing/>
    </w:pPr>
  </w:style>
  <w:style w:type="paragraph" w:styleId="ListNumber3">
    <w:name w:val="List Number 3"/>
    <w:basedOn w:val="Normal"/>
    <w:rsid w:val="00B92760"/>
    <w:pPr>
      <w:numPr>
        <w:numId w:val="21"/>
      </w:numPr>
      <w:contextualSpacing/>
    </w:pPr>
  </w:style>
  <w:style w:type="paragraph" w:styleId="ListNumber4">
    <w:name w:val="List Number 4"/>
    <w:basedOn w:val="Normal"/>
    <w:rsid w:val="00B92760"/>
    <w:pPr>
      <w:numPr>
        <w:numId w:val="22"/>
      </w:numPr>
      <w:contextualSpacing/>
    </w:pPr>
  </w:style>
  <w:style w:type="paragraph" w:styleId="ListNumber5">
    <w:name w:val="List Number 5"/>
    <w:basedOn w:val="Normal"/>
    <w:rsid w:val="00B92760"/>
    <w:pPr>
      <w:numPr>
        <w:numId w:val="23"/>
      </w:numPr>
      <w:contextualSpacing/>
    </w:pPr>
  </w:style>
  <w:style w:type="paragraph" w:styleId="MacroText">
    <w:name w:val="macro"/>
    <w:link w:val="MacroTextChar"/>
    <w:rsid w:val="00B92760"/>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nsolas" w:hAnsi="Consolas"/>
    </w:rPr>
  </w:style>
  <w:style w:type="character" w:customStyle="1" w:styleId="MacroTextChar">
    <w:name w:val="Macro Text Char"/>
    <w:basedOn w:val="DefaultParagraphFont"/>
    <w:link w:val="MacroText"/>
    <w:rsid w:val="00B92760"/>
    <w:rPr>
      <w:rFonts w:ascii="Consolas" w:hAnsi="Consolas"/>
    </w:rPr>
  </w:style>
  <w:style w:type="paragraph" w:styleId="MessageHeader">
    <w:name w:val="Message Header"/>
    <w:basedOn w:val="Normal"/>
    <w:link w:val="MessageHeaderChar"/>
    <w:rsid w:val="00B9276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B92760"/>
    <w:rPr>
      <w:rFonts w:asciiTheme="majorHAnsi" w:eastAsiaTheme="majorEastAsia" w:hAnsiTheme="majorHAnsi" w:cstheme="majorBidi"/>
      <w:sz w:val="24"/>
      <w:szCs w:val="24"/>
      <w:shd w:val="pct20" w:color="auto" w:fill="auto"/>
    </w:rPr>
  </w:style>
  <w:style w:type="paragraph" w:styleId="NoSpacing">
    <w:name w:val="No Spacing"/>
    <w:uiPriority w:val="1"/>
    <w:qFormat/>
    <w:rsid w:val="00B92760"/>
    <w:pPr>
      <w:jc w:val="both"/>
    </w:pPr>
    <w:rPr>
      <w:sz w:val="24"/>
    </w:rPr>
  </w:style>
  <w:style w:type="paragraph" w:styleId="NormalWeb">
    <w:name w:val="Normal (Web)"/>
    <w:basedOn w:val="Normal"/>
    <w:rsid w:val="00B92760"/>
    <w:rPr>
      <w:szCs w:val="24"/>
    </w:rPr>
  </w:style>
  <w:style w:type="paragraph" w:styleId="NormalIndent">
    <w:name w:val="Normal Indent"/>
    <w:basedOn w:val="Normal"/>
    <w:rsid w:val="00B92760"/>
    <w:pPr>
      <w:ind w:left="720"/>
    </w:pPr>
  </w:style>
  <w:style w:type="paragraph" w:styleId="NoteHeading">
    <w:name w:val="Note Heading"/>
    <w:basedOn w:val="Normal"/>
    <w:next w:val="Normal"/>
    <w:link w:val="NoteHeadingChar"/>
    <w:rsid w:val="00B92760"/>
    <w:pPr>
      <w:spacing w:before="0"/>
    </w:pPr>
  </w:style>
  <w:style w:type="character" w:customStyle="1" w:styleId="NoteHeadingChar">
    <w:name w:val="Note Heading Char"/>
    <w:basedOn w:val="DefaultParagraphFont"/>
    <w:link w:val="NoteHeading"/>
    <w:rsid w:val="00B92760"/>
    <w:rPr>
      <w:sz w:val="24"/>
    </w:rPr>
  </w:style>
  <w:style w:type="paragraph" w:styleId="Quote">
    <w:name w:val="Quote"/>
    <w:basedOn w:val="Normal"/>
    <w:next w:val="Normal"/>
    <w:link w:val="QuoteChar"/>
    <w:uiPriority w:val="29"/>
    <w:qFormat/>
    <w:rsid w:val="00B92760"/>
    <w:rPr>
      <w:i/>
      <w:iCs/>
      <w:color w:val="000000" w:themeColor="text1"/>
    </w:rPr>
  </w:style>
  <w:style w:type="character" w:customStyle="1" w:styleId="QuoteChar">
    <w:name w:val="Quote Char"/>
    <w:basedOn w:val="DefaultParagraphFont"/>
    <w:link w:val="Quote"/>
    <w:uiPriority w:val="29"/>
    <w:rsid w:val="00B92760"/>
    <w:rPr>
      <w:i/>
      <w:iCs/>
      <w:color w:val="000000" w:themeColor="text1"/>
      <w:sz w:val="24"/>
    </w:rPr>
  </w:style>
  <w:style w:type="paragraph" w:styleId="Salutation">
    <w:name w:val="Salutation"/>
    <w:basedOn w:val="Normal"/>
    <w:next w:val="Normal"/>
    <w:link w:val="SalutationChar"/>
    <w:rsid w:val="00B92760"/>
  </w:style>
  <w:style w:type="character" w:customStyle="1" w:styleId="SalutationChar">
    <w:name w:val="Salutation Char"/>
    <w:basedOn w:val="DefaultParagraphFont"/>
    <w:link w:val="Salutation"/>
    <w:rsid w:val="00B92760"/>
    <w:rPr>
      <w:sz w:val="24"/>
    </w:rPr>
  </w:style>
  <w:style w:type="paragraph" w:styleId="Signature">
    <w:name w:val="Signature"/>
    <w:basedOn w:val="Normal"/>
    <w:link w:val="SignatureChar"/>
    <w:rsid w:val="00B92760"/>
    <w:pPr>
      <w:spacing w:before="0"/>
      <w:ind w:left="4320"/>
    </w:pPr>
  </w:style>
  <w:style w:type="character" w:customStyle="1" w:styleId="SignatureChar">
    <w:name w:val="Signature Char"/>
    <w:basedOn w:val="DefaultParagraphFont"/>
    <w:link w:val="Signature"/>
    <w:rsid w:val="00B92760"/>
    <w:rPr>
      <w:sz w:val="24"/>
    </w:rPr>
  </w:style>
  <w:style w:type="paragraph" w:styleId="Subtitle">
    <w:name w:val="Subtitle"/>
    <w:basedOn w:val="Normal"/>
    <w:next w:val="Normal"/>
    <w:link w:val="SubtitleChar"/>
    <w:qFormat/>
    <w:rsid w:val="00B9276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9276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B92760"/>
    <w:pPr>
      <w:ind w:left="240" w:hanging="240"/>
    </w:pPr>
  </w:style>
  <w:style w:type="paragraph" w:styleId="Title">
    <w:name w:val="Title"/>
    <w:basedOn w:val="Normal"/>
    <w:next w:val="Normal"/>
    <w:link w:val="TitleChar"/>
    <w:qFormat/>
    <w:rsid w:val="00B9276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9276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B92760"/>
    <w:rPr>
      <w:rFonts w:asciiTheme="majorHAnsi" w:eastAsiaTheme="majorEastAsia" w:hAnsiTheme="majorHAnsi" w:cstheme="majorBidi"/>
      <w:b/>
      <w:bCs/>
      <w:szCs w:val="24"/>
    </w:rPr>
  </w:style>
  <w:style w:type="paragraph" w:styleId="Revision">
    <w:name w:val="Revision"/>
    <w:hidden/>
    <w:uiPriority w:val="99"/>
    <w:semiHidden/>
    <w:rsid w:val="00E43FAD"/>
    <w:rPr>
      <w:sz w:val="24"/>
    </w:rPr>
  </w:style>
  <w:style w:type="character" w:customStyle="1" w:styleId="Heading2Char">
    <w:name w:val="Heading 2 Char"/>
    <w:basedOn w:val="DefaultParagraphFont"/>
    <w:link w:val="Heading2"/>
    <w:rsid w:val="00C21426"/>
    <w:rPr>
      <w:rFonts w:ascii="Arial" w:hAnsi="Arial"/>
      <w:b/>
      <w:sz w:val="26"/>
    </w:rPr>
  </w:style>
  <w:style w:type="character" w:customStyle="1" w:styleId="Heading3Char">
    <w:name w:val="Heading 3 Char"/>
    <w:basedOn w:val="DefaultParagraphFont"/>
    <w:link w:val="Heading3"/>
    <w:rsid w:val="005271B8"/>
    <w:rPr>
      <w:rFonts w:ascii="Arial" w:hAnsi="Arial"/>
      <w:b/>
      <w:sz w:val="24"/>
    </w:rPr>
  </w:style>
  <w:style w:type="paragraph" w:customStyle="1" w:styleId="line862">
    <w:name w:val="line862"/>
    <w:basedOn w:val="Normal"/>
    <w:rsid w:val="00882ED7"/>
    <w:pPr>
      <w:spacing w:before="100" w:beforeAutospacing="1" w:after="100" w:afterAutospacing="1"/>
      <w:jc w:val="left"/>
    </w:pPr>
    <w:rPr>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6938">
      <w:bodyDiv w:val="1"/>
      <w:marLeft w:val="0"/>
      <w:marRight w:val="0"/>
      <w:marTop w:val="0"/>
      <w:marBottom w:val="0"/>
      <w:divBdr>
        <w:top w:val="none" w:sz="0" w:space="0" w:color="auto"/>
        <w:left w:val="none" w:sz="0" w:space="0" w:color="auto"/>
        <w:bottom w:val="none" w:sz="0" w:space="0" w:color="auto"/>
        <w:right w:val="none" w:sz="0" w:space="0" w:color="auto"/>
      </w:divBdr>
    </w:div>
    <w:div w:id="158084070">
      <w:bodyDiv w:val="1"/>
      <w:marLeft w:val="0"/>
      <w:marRight w:val="0"/>
      <w:marTop w:val="0"/>
      <w:marBottom w:val="0"/>
      <w:divBdr>
        <w:top w:val="none" w:sz="0" w:space="0" w:color="auto"/>
        <w:left w:val="none" w:sz="0" w:space="0" w:color="auto"/>
        <w:bottom w:val="none" w:sz="0" w:space="0" w:color="auto"/>
        <w:right w:val="none" w:sz="0" w:space="0" w:color="auto"/>
      </w:divBdr>
    </w:div>
    <w:div w:id="275218301">
      <w:bodyDiv w:val="1"/>
      <w:marLeft w:val="0"/>
      <w:marRight w:val="0"/>
      <w:marTop w:val="0"/>
      <w:marBottom w:val="0"/>
      <w:divBdr>
        <w:top w:val="none" w:sz="0" w:space="0" w:color="auto"/>
        <w:left w:val="none" w:sz="0" w:space="0" w:color="auto"/>
        <w:bottom w:val="none" w:sz="0" w:space="0" w:color="auto"/>
        <w:right w:val="none" w:sz="0" w:space="0" w:color="auto"/>
      </w:divBdr>
    </w:div>
    <w:div w:id="429472047">
      <w:bodyDiv w:val="1"/>
      <w:marLeft w:val="0"/>
      <w:marRight w:val="0"/>
      <w:marTop w:val="0"/>
      <w:marBottom w:val="0"/>
      <w:divBdr>
        <w:top w:val="none" w:sz="0" w:space="0" w:color="auto"/>
        <w:left w:val="none" w:sz="0" w:space="0" w:color="auto"/>
        <w:bottom w:val="none" w:sz="0" w:space="0" w:color="auto"/>
        <w:right w:val="none" w:sz="0" w:space="0" w:color="auto"/>
      </w:divBdr>
    </w:div>
    <w:div w:id="438648577">
      <w:bodyDiv w:val="1"/>
      <w:marLeft w:val="0"/>
      <w:marRight w:val="0"/>
      <w:marTop w:val="0"/>
      <w:marBottom w:val="0"/>
      <w:divBdr>
        <w:top w:val="none" w:sz="0" w:space="0" w:color="auto"/>
        <w:left w:val="none" w:sz="0" w:space="0" w:color="auto"/>
        <w:bottom w:val="none" w:sz="0" w:space="0" w:color="auto"/>
        <w:right w:val="none" w:sz="0" w:space="0" w:color="auto"/>
      </w:divBdr>
    </w:div>
    <w:div w:id="472259502">
      <w:bodyDiv w:val="1"/>
      <w:marLeft w:val="0"/>
      <w:marRight w:val="0"/>
      <w:marTop w:val="0"/>
      <w:marBottom w:val="0"/>
      <w:divBdr>
        <w:top w:val="none" w:sz="0" w:space="0" w:color="auto"/>
        <w:left w:val="none" w:sz="0" w:space="0" w:color="auto"/>
        <w:bottom w:val="none" w:sz="0" w:space="0" w:color="auto"/>
        <w:right w:val="none" w:sz="0" w:space="0" w:color="auto"/>
      </w:divBdr>
    </w:div>
    <w:div w:id="687176308">
      <w:bodyDiv w:val="1"/>
      <w:marLeft w:val="0"/>
      <w:marRight w:val="0"/>
      <w:marTop w:val="0"/>
      <w:marBottom w:val="0"/>
      <w:divBdr>
        <w:top w:val="none" w:sz="0" w:space="0" w:color="auto"/>
        <w:left w:val="none" w:sz="0" w:space="0" w:color="auto"/>
        <w:bottom w:val="none" w:sz="0" w:space="0" w:color="auto"/>
        <w:right w:val="none" w:sz="0" w:space="0" w:color="auto"/>
      </w:divBdr>
      <w:divsChild>
        <w:div w:id="1786002664">
          <w:marLeft w:val="0"/>
          <w:marRight w:val="0"/>
          <w:marTop w:val="0"/>
          <w:marBottom w:val="0"/>
          <w:divBdr>
            <w:top w:val="none" w:sz="0" w:space="0" w:color="auto"/>
            <w:left w:val="none" w:sz="0" w:space="0" w:color="auto"/>
            <w:bottom w:val="none" w:sz="0" w:space="0" w:color="auto"/>
            <w:right w:val="none" w:sz="0" w:space="0" w:color="auto"/>
          </w:divBdr>
          <w:divsChild>
            <w:div w:id="21450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6245">
      <w:bodyDiv w:val="1"/>
      <w:marLeft w:val="0"/>
      <w:marRight w:val="0"/>
      <w:marTop w:val="0"/>
      <w:marBottom w:val="0"/>
      <w:divBdr>
        <w:top w:val="none" w:sz="0" w:space="0" w:color="auto"/>
        <w:left w:val="none" w:sz="0" w:space="0" w:color="auto"/>
        <w:bottom w:val="none" w:sz="0" w:space="0" w:color="auto"/>
        <w:right w:val="none" w:sz="0" w:space="0" w:color="auto"/>
      </w:divBdr>
      <w:divsChild>
        <w:div w:id="1462847207">
          <w:marLeft w:val="0"/>
          <w:marRight w:val="0"/>
          <w:marTop w:val="0"/>
          <w:marBottom w:val="0"/>
          <w:divBdr>
            <w:top w:val="none" w:sz="0" w:space="0" w:color="auto"/>
            <w:left w:val="none" w:sz="0" w:space="0" w:color="auto"/>
            <w:bottom w:val="none" w:sz="0" w:space="0" w:color="auto"/>
            <w:right w:val="none" w:sz="0" w:space="0" w:color="auto"/>
          </w:divBdr>
          <w:divsChild>
            <w:div w:id="2368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704">
      <w:bodyDiv w:val="1"/>
      <w:marLeft w:val="0"/>
      <w:marRight w:val="0"/>
      <w:marTop w:val="0"/>
      <w:marBottom w:val="0"/>
      <w:divBdr>
        <w:top w:val="none" w:sz="0" w:space="0" w:color="auto"/>
        <w:left w:val="none" w:sz="0" w:space="0" w:color="auto"/>
        <w:bottom w:val="none" w:sz="0" w:space="0" w:color="auto"/>
        <w:right w:val="none" w:sz="0" w:space="0" w:color="auto"/>
      </w:divBdr>
    </w:div>
    <w:div w:id="882790955">
      <w:bodyDiv w:val="1"/>
      <w:marLeft w:val="0"/>
      <w:marRight w:val="0"/>
      <w:marTop w:val="0"/>
      <w:marBottom w:val="0"/>
      <w:divBdr>
        <w:top w:val="none" w:sz="0" w:space="0" w:color="auto"/>
        <w:left w:val="none" w:sz="0" w:space="0" w:color="auto"/>
        <w:bottom w:val="none" w:sz="0" w:space="0" w:color="auto"/>
        <w:right w:val="none" w:sz="0" w:space="0" w:color="auto"/>
      </w:divBdr>
    </w:div>
    <w:div w:id="943074852">
      <w:bodyDiv w:val="1"/>
      <w:marLeft w:val="0"/>
      <w:marRight w:val="0"/>
      <w:marTop w:val="0"/>
      <w:marBottom w:val="0"/>
      <w:divBdr>
        <w:top w:val="none" w:sz="0" w:space="0" w:color="auto"/>
        <w:left w:val="none" w:sz="0" w:space="0" w:color="auto"/>
        <w:bottom w:val="none" w:sz="0" w:space="0" w:color="auto"/>
        <w:right w:val="none" w:sz="0" w:space="0" w:color="auto"/>
      </w:divBdr>
    </w:div>
    <w:div w:id="975987931">
      <w:bodyDiv w:val="1"/>
      <w:marLeft w:val="0"/>
      <w:marRight w:val="0"/>
      <w:marTop w:val="0"/>
      <w:marBottom w:val="0"/>
      <w:divBdr>
        <w:top w:val="none" w:sz="0" w:space="0" w:color="auto"/>
        <w:left w:val="none" w:sz="0" w:space="0" w:color="auto"/>
        <w:bottom w:val="none" w:sz="0" w:space="0" w:color="auto"/>
        <w:right w:val="none" w:sz="0" w:space="0" w:color="auto"/>
      </w:divBdr>
    </w:div>
    <w:div w:id="1028139781">
      <w:bodyDiv w:val="1"/>
      <w:marLeft w:val="0"/>
      <w:marRight w:val="0"/>
      <w:marTop w:val="0"/>
      <w:marBottom w:val="0"/>
      <w:divBdr>
        <w:top w:val="none" w:sz="0" w:space="0" w:color="auto"/>
        <w:left w:val="none" w:sz="0" w:space="0" w:color="auto"/>
        <w:bottom w:val="none" w:sz="0" w:space="0" w:color="auto"/>
        <w:right w:val="none" w:sz="0" w:space="0" w:color="auto"/>
      </w:divBdr>
    </w:div>
    <w:div w:id="1129663038">
      <w:bodyDiv w:val="1"/>
      <w:marLeft w:val="0"/>
      <w:marRight w:val="0"/>
      <w:marTop w:val="0"/>
      <w:marBottom w:val="0"/>
      <w:divBdr>
        <w:top w:val="none" w:sz="0" w:space="0" w:color="auto"/>
        <w:left w:val="none" w:sz="0" w:space="0" w:color="auto"/>
        <w:bottom w:val="none" w:sz="0" w:space="0" w:color="auto"/>
        <w:right w:val="none" w:sz="0" w:space="0" w:color="auto"/>
      </w:divBdr>
    </w:div>
    <w:div w:id="1236740081">
      <w:bodyDiv w:val="1"/>
      <w:marLeft w:val="0"/>
      <w:marRight w:val="0"/>
      <w:marTop w:val="0"/>
      <w:marBottom w:val="0"/>
      <w:divBdr>
        <w:top w:val="none" w:sz="0" w:space="0" w:color="auto"/>
        <w:left w:val="none" w:sz="0" w:space="0" w:color="auto"/>
        <w:bottom w:val="none" w:sz="0" w:space="0" w:color="auto"/>
        <w:right w:val="none" w:sz="0" w:space="0" w:color="auto"/>
      </w:divBdr>
    </w:div>
    <w:div w:id="1246264491">
      <w:bodyDiv w:val="1"/>
      <w:marLeft w:val="0"/>
      <w:marRight w:val="0"/>
      <w:marTop w:val="0"/>
      <w:marBottom w:val="0"/>
      <w:divBdr>
        <w:top w:val="none" w:sz="0" w:space="0" w:color="auto"/>
        <w:left w:val="none" w:sz="0" w:space="0" w:color="auto"/>
        <w:bottom w:val="none" w:sz="0" w:space="0" w:color="auto"/>
        <w:right w:val="none" w:sz="0" w:space="0" w:color="auto"/>
      </w:divBdr>
    </w:div>
    <w:div w:id="1392460791">
      <w:bodyDiv w:val="1"/>
      <w:marLeft w:val="0"/>
      <w:marRight w:val="0"/>
      <w:marTop w:val="0"/>
      <w:marBottom w:val="0"/>
      <w:divBdr>
        <w:top w:val="none" w:sz="0" w:space="0" w:color="auto"/>
        <w:left w:val="none" w:sz="0" w:space="0" w:color="auto"/>
        <w:bottom w:val="none" w:sz="0" w:space="0" w:color="auto"/>
        <w:right w:val="none" w:sz="0" w:space="0" w:color="auto"/>
      </w:divBdr>
    </w:div>
    <w:div w:id="1442064365">
      <w:bodyDiv w:val="1"/>
      <w:marLeft w:val="0"/>
      <w:marRight w:val="0"/>
      <w:marTop w:val="0"/>
      <w:marBottom w:val="0"/>
      <w:divBdr>
        <w:top w:val="none" w:sz="0" w:space="0" w:color="auto"/>
        <w:left w:val="none" w:sz="0" w:space="0" w:color="auto"/>
        <w:bottom w:val="none" w:sz="0" w:space="0" w:color="auto"/>
        <w:right w:val="none" w:sz="0" w:space="0" w:color="auto"/>
      </w:divBdr>
    </w:div>
    <w:div w:id="1545411683">
      <w:bodyDiv w:val="1"/>
      <w:marLeft w:val="0"/>
      <w:marRight w:val="0"/>
      <w:marTop w:val="0"/>
      <w:marBottom w:val="0"/>
      <w:divBdr>
        <w:top w:val="none" w:sz="0" w:space="0" w:color="auto"/>
        <w:left w:val="none" w:sz="0" w:space="0" w:color="auto"/>
        <w:bottom w:val="none" w:sz="0" w:space="0" w:color="auto"/>
        <w:right w:val="none" w:sz="0" w:space="0" w:color="auto"/>
      </w:divBdr>
    </w:div>
    <w:div w:id="1570773940">
      <w:bodyDiv w:val="1"/>
      <w:marLeft w:val="0"/>
      <w:marRight w:val="0"/>
      <w:marTop w:val="0"/>
      <w:marBottom w:val="0"/>
      <w:divBdr>
        <w:top w:val="none" w:sz="0" w:space="0" w:color="auto"/>
        <w:left w:val="none" w:sz="0" w:space="0" w:color="auto"/>
        <w:bottom w:val="none" w:sz="0" w:space="0" w:color="auto"/>
        <w:right w:val="none" w:sz="0" w:space="0" w:color="auto"/>
      </w:divBdr>
    </w:div>
    <w:div w:id="1630672209">
      <w:bodyDiv w:val="1"/>
      <w:marLeft w:val="0"/>
      <w:marRight w:val="0"/>
      <w:marTop w:val="0"/>
      <w:marBottom w:val="0"/>
      <w:divBdr>
        <w:top w:val="none" w:sz="0" w:space="0" w:color="auto"/>
        <w:left w:val="none" w:sz="0" w:space="0" w:color="auto"/>
        <w:bottom w:val="none" w:sz="0" w:space="0" w:color="auto"/>
        <w:right w:val="none" w:sz="0" w:space="0" w:color="auto"/>
      </w:divBdr>
    </w:div>
    <w:div w:id="1842432385">
      <w:bodyDiv w:val="1"/>
      <w:marLeft w:val="0"/>
      <w:marRight w:val="0"/>
      <w:marTop w:val="0"/>
      <w:marBottom w:val="0"/>
      <w:divBdr>
        <w:top w:val="none" w:sz="0" w:space="0" w:color="auto"/>
        <w:left w:val="none" w:sz="0" w:space="0" w:color="auto"/>
        <w:bottom w:val="none" w:sz="0" w:space="0" w:color="auto"/>
        <w:right w:val="none" w:sz="0" w:space="0" w:color="auto"/>
      </w:divBdr>
    </w:div>
    <w:div w:id="1842502318">
      <w:bodyDiv w:val="1"/>
      <w:marLeft w:val="0"/>
      <w:marRight w:val="0"/>
      <w:marTop w:val="0"/>
      <w:marBottom w:val="0"/>
      <w:divBdr>
        <w:top w:val="none" w:sz="0" w:space="0" w:color="auto"/>
        <w:left w:val="none" w:sz="0" w:space="0" w:color="auto"/>
        <w:bottom w:val="none" w:sz="0" w:space="0" w:color="auto"/>
        <w:right w:val="none" w:sz="0" w:space="0" w:color="auto"/>
      </w:divBdr>
    </w:div>
    <w:div w:id="1881630261">
      <w:bodyDiv w:val="1"/>
      <w:marLeft w:val="0"/>
      <w:marRight w:val="0"/>
      <w:marTop w:val="0"/>
      <w:marBottom w:val="0"/>
      <w:divBdr>
        <w:top w:val="none" w:sz="0" w:space="0" w:color="auto"/>
        <w:left w:val="none" w:sz="0" w:space="0" w:color="auto"/>
        <w:bottom w:val="none" w:sz="0" w:space="0" w:color="auto"/>
        <w:right w:val="none" w:sz="0" w:space="0" w:color="auto"/>
      </w:divBdr>
    </w:div>
    <w:div w:id="1905792419">
      <w:bodyDiv w:val="1"/>
      <w:marLeft w:val="0"/>
      <w:marRight w:val="0"/>
      <w:marTop w:val="0"/>
      <w:marBottom w:val="0"/>
      <w:divBdr>
        <w:top w:val="none" w:sz="0" w:space="0" w:color="auto"/>
        <w:left w:val="none" w:sz="0" w:space="0" w:color="auto"/>
        <w:bottom w:val="none" w:sz="0" w:space="0" w:color="auto"/>
        <w:right w:val="none" w:sz="0" w:space="0" w:color="auto"/>
      </w:divBdr>
    </w:div>
    <w:div w:id="1952741344">
      <w:bodyDiv w:val="1"/>
      <w:marLeft w:val="0"/>
      <w:marRight w:val="0"/>
      <w:marTop w:val="0"/>
      <w:marBottom w:val="0"/>
      <w:divBdr>
        <w:top w:val="none" w:sz="0" w:space="0" w:color="auto"/>
        <w:left w:val="none" w:sz="0" w:space="0" w:color="auto"/>
        <w:bottom w:val="none" w:sz="0" w:space="0" w:color="auto"/>
        <w:right w:val="none" w:sz="0" w:space="0" w:color="auto"/>
      </w:divBdr>
    </w:div>
    <w:div w:id="1974603253">
      <w:bodyDiv w:val="1"/>
      <w:marLeft w:val="0"/>
      <w:marRight w:val="0"/>
      <w:marTop w:val="0"/>
      <w:marBottom w:val="0"/>
      <w:divBdr>
        <w:top w:val="none" w:sz="0" w:space="0" w:color="auto"/>
        <w:left w:val="none" w:sz="0" w:space="0" w:color="auto"/>
        <w:bottom w:val="none" w:sz="0" w:space="0" w:color="auto"/>
        <w:right w:val="none" w:sz="0" w:space="0" w:color="auto"/>
      </w:divBdr>
    </w:div>
    <w:div w:id="2085683391">
      <w:bodyDiv w:val="1"/>
      <w:marLeft w:val="0"/>
      <w:marRight w:val="0"/>
      <w:marTop w:val="0"/>
      <w:marBottom w:val="0"/>
      <w:divBdr>
        <w:top w:val="none" w:sz="0" w:space="0" w:color="auto"/>
        <w:left w:val="none" w:sz="0" w:space="0" w:color="auto"/>
        <w:bottom w:val="none" w:sz="0" w:space="0" w:color="auto"/>
        <w:right w:val="none" w:sz="0" w:space="0" w:color="auto"/>
      </w:divBdr>
    </w:div>
    <w:div w:id="211578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c.ligo.org/cgi-bin/private/DocDB/ShowDocument?docid=9960" TargetMode="External"/><Relationship Id="rId117" Type="http://schemas.openxmlformats.org/officeDocument/2006/relationships/hyperlink" Target="https://dcc.ligo.org/cgi-bin/private/DocDB/ShowDocument?docid=D1200175" TargetMode="External"/><Relationship Id="rId21" Type="http://schemas.openxmlformats.org/officeDocument/2006/relationships/hyperlink" Target="https://dcc.ligo.org/cgi-bin/private/DocDB/ShowDocument?docid=22508" TargetMode="External"/><Relationship Id="rId42" Type="http://schemas.openxmlformats.org/officeDocument/2006/relationships/image" Target="media/image6.emf"/><Relationship Id="rId47" Type="http://schemas.openxmlformats.org/officeDocument/2006/relationships/image" Target="media/image10.png"/><Relationship Id="rId63" Type="http://schemas.openxmlformats.org/officeDocument/2006/relationships/hyperlink" Target="https://dcc.ligo.org/cgi-bin/private/DocDB/ShowDocument?docid=2822" TargetMode="External"/><Relationship Id="rId68" Type="http://schemas.openxmlformats.org/officeDocument/2006/relationships/image" Target="media/image19.jpeg"/><Relationship Id="rId84" Type="http://schemas.openxmlformats.org/officeDocument/2006/relationships/image" Target="media/image30.jpeg"/><Relationship Id="rId89" Type="http://schemas.openxmlformats.org/officeDocument/2006/relationships/image" Target="media/image31.JPG"/><Relationship Id="rId112" Type="http://schemas.openxmlformats.org/officeDocument/2006/relationships/hyperlink" Target="https://dcc.ligo.org/cgi-bin/private/DocDB/ShowDocument?docid=D1102357" TargetMode="External"/><Relationship Id="rId133" Type="http://schemas.openxmlformats.org/officeDocument/2006/relationships/hyperlink" Target="https://dcc.ligo.org/cgi-bin/private/DocDB/ShowDocument?docid=D1200173" TargetMode="External"/><Relationship Id="rId138" Type="http://schemas.openxmlformats.org/officeDocument/2006/relationships/hyperlink" Target="https://dcc.ligo.org/cgi-bin/private/DocDB/ShowDocument?docid=D1200173" TargetMode="External"/><Relationship Id="rId16" Type="http://schemas.openxmlformats.org/officeDocument/2006/relationships/hyperlink" Target="https://dcc.ligo.org/cgi-bin/private/DocDB/ShowDocument?docid=36762" TargetMode="External"/><Relationship Id="rId107" Type="http://schemas.openxmlformats.org/officeDocument/2006/relationships/hyperlink" Target="https://dcc.ligo.org/cgi-bin/private/DocDB/ShowDocument?docid=D1102439" TargetMode="External"/><Relationship Id="rId11" Type="http://schemas.openxmlformats.org/officeDocument/2006/relationships/hyperlink" Target="http://www.ligo.caltech.edu/" TargetMode="External"/><Relationship Id="rId32" Type="http://schemas.openxmlformats.org/officeDocument/2006/relationships/hyperlink" Target="https://dcc.ligo.org/cgi-bin/private/DocDB/ShowDocument?docid=70839" TargetMode="External"/><Relationship Id="rId37" Type="http://schemas.openxmlformats.org/officeDocument/2006/relationships/image" Target="media/image3.png"/><Relationship Id="rId53" Type="http://schemas.openxmlformats.org/officeDocument/2006/relationships/hyperlink" Target="https://dcc.ligo.org/cgi-bin/private/DocDB/ShowDocument?docid=74449" TargetMode="External"/><Relationship Id="rId58" Type="http://schemas.openxmlformats.org/officeDocument/2006/relationships/hyperlink" Target="https://dcc.ligo.org/cgi-bin/private/DocDB/ShowDocument?docid=3911" TargetMode="External"/><Relationship Id="rId74" Type="http://schemas.openxmlformats.org/officeDocument/2006/relationships/image" Target="media/image24.png"/><Relationship Id="rId79" Type="http://schemas.openxmlformats.org/officeDocument/2006/relationships/image" Target="media/image26.jpeg"/><Relationship Id="rId102" Type="http://schemas.openxmlformats.org/officeDocument/2006/relationships/hyperlink" Target="https://dcc.ligo.org/cgi-bin/private/DocDB/ShowDocument?docid=D1200174" TargetMode="External"/><Relationship Id="rId123" Type="http://schemas.openxmlformats.org/officeDocument/2006/relationships/hyperlink" Target="https://dcc.ligo.org/cgi-bin/private/DocDB/ShowDocument?docid=D1102362" TargetMode="External"/><Relationship Id="rId128" Type="http://schemas.openxmlformats.org/officeDocument/2006/relationships/hyperlink" Target="https://dcc.ligo.org/cgi-bin/private/DocDB/ShowDocument?docid=77197" TargetMode="External"/><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hyperlink" Target="https://dcc.ligo.org/cgi-bin/private/DocDB/ShowDocument?docid=10322" TargetMode="External"/><Relationship Id="rId22" Type="http://schemas.openxmlformats.org/officeDocument/2006/relationships/hyperlink" Target="https://dcc.ligo.org/cgi-bin/private/DocDB/ShowDocument?docid=27892" TargetMode="External"/><Relationship Id="rId27" Type="http://schemas.openxmlformats.org/officeDocument/2006/relationships/hyperlink" Target="https://dcc.ligo.org/cgi-bin/private/DocDB/ShowDocument?docid=21187" TargetMode="External"/><Relationship Id="rId43" Type="http://schemas.openxmlformats.org/officeDocument/2006/relationships/image" Target="media/image7.emf"/><Relationship Id="rId48" Type="http://schemas.openxmlformats.org/officeDocument/2006/relationships/hyperlink" Target="https://dcc.ligo.org/cgi-bin/private/DocDB/ShowDocument?docid=2974" TargetMode="External"/><Relationship Id="rId64" Type="http://schemas.openxmlformats.org/officeDocument/2006/relationships/image" Target="media/image15.emf"/><Relationship Id="rId69" Type="http://schemas.openxmlformats.org/officeDocument/2006/relationships/image" Target="media/image20.jpeg"/><Relationship Id="rId113" Type="http://schemas.openxmlformats.org/officeDocument/2006/relationships/hyperlink" Target="https://dcc.ligo.org/cgi-bin/private/DocDB/ShowDocument?docid=D1102358" TargetMode="External"/><Relationship Id="rId118" Type="http://schemas.openxmlformats.org/officeDocument/2006/relationships/hyperlink" Target="http://www.siskiyou.com/mirror-mounts_ixm200-2.shtml" TargetMode="External"/><Relationship Id="rId134" Type="http://schemas.openxmlformats.org/officeDocument/2006/relationships/hyperlink" Target="https://dcc.ligo.org/cgi-bin/private/DocDB/ShowDocument?docid=D1200176" TargetMode="External"/><Relationship Id="rId139" Type="http://schemas.openxmlformats.org/officeDocument/2006/relationships/hyperlink" Target="https://dcc.ligo.org/cgi-bin/private/DocDB/ShowDocument?docid=D1200176" TargetMode="External"/><Relationship Id="rId80" Type="http://schemas.openxmlformats.org/officeDocument/2006/relationships/image" Target="media/image27.jpeg"/><Relationship Id="rId85" Type="http://schemas.openxmlformats.org/officeDocument/2006/relationships/hyperlink" Target="http://www.nist.gov/calibrations/upload/sp250_75.pdf" TargetMode="External"/><Relationship Id="rId3" Type="http://schemas.openxmlformats.org/officeDocument/2006/relationships/styles" Target="styles.xml"/><Relationship Id="rId12" Type="http://schemas.openxmlformats.org/officeDocument/2006/relationships/hyperlink" Target="https://dcc.ligo.org/cgi-bin/private/DocDB/ShowDocument?docid=3201" TargetMode="External"/><Relationship Id="rId17" Type="http://schemas.openxmlformats.org/officeDocument/2006/relationships/hyperlink" Target="https://dcc.ligo.org/cgi-bin/private/DocDB/ShowDocument?docid=31928" TargetMode="External"/><Relationship Id="rId25" Type="http://schemas.openxmlformats.org/officeDocument/2006/relationships/hyperlink" Target="https://dcc.ligo.org/cgi-bin/private/DocDB/ShowDocument?docid=40085" TargetMode="External"/><Relationship Id="rId33" Type="http://schemas.openxmlformats.org/officeDocument/2006/relationships/hyperlink" Target="https://dcc.ligo.org/cgi-bin/private/DocDB/ShowDocument?docid=77549" TargetMode="External"/><Relationship Id="rId38" Type="http://schemas.openxmlformats.org/officeDocument/2006/relationships/image" Target="media/image4.png"/><Relationship Id="rId46" Type="http://schemas.openxmlformats.org/officeDocument/2006/relationships/hyperlink" Target="https://dcc.ligo.org/cgi-bin/DocDB/ShowDocument?docid=2974" TargetMode="External"/><Relationship Id="rId59" Type="http://schemas.openxmlformats.org/officeDocument/2006/relationships/hyperlink" Target="https://dcc.ligo.org/cgi-bin/private/DocDB/ShowDocument?docid=3912" TargetMode="External"/><Relationship Id="rId67" Type="http://schemas.openxmlformats.org/officeDocument/2006/relationships/image" Target="media/image18.jpeg"/><Relationship Id="rId103" Type="http://schemas.openxmlformats.org/officeDocument/2006/relationships/hyperlink" Target="https://dcc.ligo.org/cgi-bin/private/DocDB/ShowDocument?docid=D1200170" TargetMode="External"/><Relationship Id="rId108" Type="http://schemas.openxmlformats.org/officeDocument/2006/relationships/hyperlink" Target="https://dcc.ligo.org/cgi-bin/private/DocDB/ShowDocument?docid=77185" TargetMode="External"/><Relationship Id="rId116" Type="http://schemas.openxmlformats.org/officeDocument/2006/relationships/hyperlink" Target="https://dcc.ligo.org/cgi-bin/private/DocDB/ShowDocument?docid=77197" TargetMode="External"/><Relationship Id="rId124" Type="http://schemas.openxmlformats.org/officeDocument/2006/relationships/hyperlink" Target="https://dcc.ligo.org/cgi-bin/private/DocDB/ShowDocument?docid=D1102363" TargetMode="External"/><Relationship Id="rId129" Type="http://schemas.openxmlformats.org/officeDocument/2006/relationships/hyperlink" Target="http://www.siskiyou.com/mirror-mounts_ixm200-2.shtml" TargetMode="External"/><Relationship Id="rId137" Type="http://schemas.openxmlformats.org/officeDocument/2006/relationships/hyperlink" Target="https://dcc.ligo.org/cgi-bin/private/DocDB/ShowDocument?docid=D1200180" TargetMode="External"/><Relationship Id="rId20" Type="http://schemas.openxmlformats.org/officeDocument/2006/relationships/hyperlink" Target="http://www.tapir.caltech.edu/~lindblom/Publications/86_PhysRevD_80_042005.pdf" TargetMode="External"/><Relationship Id="rId41" Type="http://schemas.openxmlformats.org/officeDocument/2006/relationships/image" Target="media/image5.emf"/><Relationship Id="rId54" Type="http://schemas.openxmlformats.org/officeDocument/2006/relationships/image" Target="media/image13.png"/><Relationship Id="rId62" Type="http://schemas.openxmlformats.org/officeDocument/2006/relationships/hyperlink" Target="https://dcc.ligo.org/cgi-bin/private/DocDB/ShowDocument?docid=3908" TargetMode="External"/><Relationship Id="rId70" Type="http://schemas.openxmlformats.org/officeDocument/2006/relationships/image" Target="media/image21.png"/><Relationship Id="rId75" Type="http://schemas.openxmlformats.org/officeDocument/2006/relationships/hyperlink" Target="https://dcc.ligo.org/cgi-bin/private/DocDB/ShowDocument?docid=75787" TargetMode="External"/><Relationship Id="rId83" Type="http://schemas.openxmlformats.org/officeDocument/2006/relationships/hyperlink" Target="https://dcc.ligo.org/cgi-bin/private/DocDB/ShowDocument?docid=D1200216" TargetMode="External"/><Relationship Id="rId88" Type="http://schemas.openxmlformats.org/officeDocument/2006/relationships/hyperlink" Target="http://www.keithley.com/products/dcac/dmm/broadpurpose/?mn=2000" TargetMode="External"/><Relationship Id="rId91" Type="http://schemas.openxmlformats.org/officeDocument/2006/relationships/image" Target="media/image33.JPG"/><Relationship Id="rId96" Type="http://schemas.openxmlformats.org/officeDocument/2006/relationships/hyperlink" Target="https://dcc.ligo.org/cgi-bin/private/DocDB/ShowDocument?docid=D1102196" TargetMode="External"/><Relationship Id="rId111" Type="http://schemas.openxmlformats.org/officeDocument/2006/relationships/hyperlink" Target="https://dcc.ligo.org/cgi-bin/private/DocDB/ShowDocument?docid=77188" TargetMode="External"/><Relationship Id="rId132" Type="http://schemas.openxmlformats.org/officeDocument/2006/relationships/hyperlink" Target="https://dcc.ligo.org/cgi-bin/private/DocDB/ShowDocument?docid=D1200193" TargetMode="External"/><Relationship Id="rId140" Type="http://schemas.openxmlformats.org/officeDocument/2006/relationships/hyperlink" Target="https://dcc.ligo.org/cgi-bin/private/DocDB/ShowDocument?docid=77187"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cc.ligo.org/cgi-bin/private/DocDB/ShowDocument?docid=27855" TargetMode="External"/><Relationship Id="rId23" Type="http://schemas.openxmlformats.org/officeDocument/2006/relationships/hyperlink" Target="https://dcc.ligo.org/cgi-bin/private/DocDB/ShowDocument?docid=10746" TargetMode="External"/><Relationship Id="rId28" Type="http://schemas.openxmlformats.org/officeDocument/2006/relationships/hyperlink" Target="https://dcc.ligo.org/cgi-bin/private/DocDB/ShowDocument?docid=39668" TargetMode="External"/><Relationship Id="rId36" Type="http://schemas.openxmlformats.org/officeDocument/2006/relationships/image" Target="media/image2.emf"/><Relationship Id="rId49" Type="http://schemas.openxmlformats.org/officeDocument/2006/relationships/image" Target="media/image11.png"/><Relationship Id="rId57" Type="http://schemas.openxmlformats.org/officeDocument/2006/relationships/hyperlink" Target="https://dcc.ligo.org/cgi-bin/private/DocDB/ShowDocument?docid=3912" TargetMode="External"/><Relationship Id="rId106" Type="http://schemas.openxmlformats.org/officeDocument/2006/relationships/hyperlink" Target="https://dcc.ligo.org/cgi-bin/private/DocDB/ShowDocument?docid=D1200169" TargetMode="External"/><Relationship Id="rId114" Type="http://schemas.openxmlformats.org/officeDocument/2006/relationships/hyperlink" Target="https://dcc.ligo.org/cgi-bin/private/DocDB/ShowDocument?docid=D1102359" TargetMode="External"/><Relationship Id="rId119" Type="http://schemas.openxmlformats.org/officeDocument/2006/relationships/hyperlink" Target="https://dcc.ligo.org/cgi-bin/private/DocDB/ShowDocument?docid=D1200179" TargetMode="External"/><Relationship Id="rId127" Type="http://schemas.openxmlformats.org/officeDocument/2006/relationships/hyperlink" Target="https://dcc.ligo.org/cgi-bin/private/DocDB/ShowDocument?docid=68411" TargetMode="External"/><Relationship Id="rId10" Type="http://schemas.openxmlformats.org/officeDocument/2006/relationships/hyperlink" Target="mailto:info@ligo.mit.edu" TargetMode="External"/><Relationship Id="rId31" Type="http://schemas.openxmlformats.org/officeDocument/2006/relationships/hyperlink" Target="https://dcc.ligo.org/cgi-bin/private/DocDB/ShowDocument?docid=75789" TargetMode="External"/><Relationship Id="rId44" Type="http://schemas.openxmlformats.org/officeDocument/2006/relationships/image" Target="media/image8.emf"/><Relationship Id="rId52" Type="http://schemas.openxmlformats.org/officeDocument/2006/relationships/hyperlink" Target="https://dcc.ligo.org/cgi-bin/private/DocDB/ShowDocument?docid=74449" TargetMode="External"/><Relationship Id="rId60" Type="http://schemas.openxmlformats.org/officeDocument/2006/relationships/hyperlink" Target="https://dcc.ligo.org/cgi-bin/private/DocDB/ShowDocument?docid=3911" TargetMode="External"/><Relationship Id="rId65" Type="http://schemas.openxmlformats.org/officeDocument/2006/relationships/image" Target="media/image16.jpeg"/><Relationship Id="rId73" Type="http://schemas.openxmlformats.org/officeDocument/2006/relationships/image" Target="media/image23.pn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hyperlink" Target="http://www.labsphere.com/products/spheres-and-components/laser-power-measurement-spheres/default.aspx" TargetMode="External"/><Relationship Id="rId94" Type="http://schemas.openxmlformats.org/officeDocument/2006/relationships/hyperlink" Target="https://dcc.ligo.org/cgi-bin/private/DocDB/ShowDocument?docid=8510" TargetMode="External"/><Relationship Id="rId99" Type="http://schemas.openxmlformats.org/officeDocument/2006/relationships/hyperlink" Target="http://www.rtlasersafety.com/laser-beam-shutters.php" TargetMode="External"/><Relationship Id="rId101" Type="http://schemas.openxmlformats.org/officeDocument/2006/relationships/hyperlink" Target="https://awiki.ligo-wa.caltech.edu/aLIGO/pcalWiki?action=AttachFile&amp;do=view&amp;target=eLIGOpcalTxBox.jpg" TargetMode="External"/><Relationship Id="rId122" Type="http://schemas.openxmlformats.org/officeDocument/2006/relationships/hyperlink" Target="https://dcc.ligo.org/cgi-bin/private/DocDB/ShowDocument?docid=D1102439" TargetMode="External"/><Relationship Id="rId130" Type="http://schemas.openxmlformats.org/officeDocument/2006/relationships/hyperlink" Target="https://dcc.ligo.org/cgi-bin/private/DocDB/ShowDocument?docid=D1200174" TargetMode="External"/><Relationship Id="rId135" Type="http://schemas.openxmlformats.org/officeDocument/2006/relationships/hyperlink" Target="https://dcc.ligo.org/cgi-bin/private/DocDB/ShowDocument?docid=77187" TargetMode="External"/><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file:///C:\Users\jonathan.berliner\Documents\info@ligo.caltech.edu" TargetMode="External"/><Relationship Id="rId13" Type="http://schemas.openxmlformats.org/officeDocument/2006/relationships/hyperlink" Target="https://dcc.ligo.org/cgi-bin/private/DocDB/ShowDocument?docid=6492" TargetMode="External"/><Relationship Id="rId18" Type="http://schemas.openxmlformats.org/officeDocument/2006/relationships/hyperlink" Target="https://dcc.ligo.org/cgi-bin/private/DocDB/ShowDocument?docid=39357" TargetMode="External"/><Relationship Id="rId39" Type="http://schemas.openxmlformats.org/officeDocument/2006/relationships/hyperlink" Target="https://dcc.ligo.org/cgi-bin/private/DocDB/ShowDocument?docid=3201" TargetMode="External"/><Relationship Id="rId109" Type="http://schemas.openxmlformats.org/officeDocument/2006/relationships/hyperlink" Target="https://dcc.ligo.org/cgi-bin/private/DocDB/ShowDocument?docid=77186" TargetMode="External"/><Relationship Id="rId34" Type="http://schemas.openxmlformats.org/officeDocument/2006/relationships/image" Target="media/image1.jpeg"/><Relationship Id="rId50" Type="http://schemas.openxmlformats.org/officeDocument/2006/relationships/image" Target="media/image12.png"/><Relationship Id="rId55" Type="http://schemas.openxmlformats.org/officeDocument/2006/relationships/hyperlink" Target="https://dcc.ligo.org/DocDB/0003/D0901477/002/D0901477_Vacuum%20Chamber%20Designations%20for%20the%20LHO%20Observatory.pdf" TargetMode="External"/><Relationship Id="rId76" Type="http://schemas.openxmlformats.org/officeDocument/2006/relationships/hyperlink" Target="https://dcc.ligo.org/cgi-bin/private/DocDB/ShowDocument?docid=74449" TargetMode="External"/><Relationship Id="rId97" Type="http://schemas.openxmlformats.org/officeDocument/2006/relationships/hyperlink" Target="https://awiki.ligo-wa.caltech.edu/aLIGO/pcalWiki?action=AttachFile&amp;do=view&amp;target=eLIGOpcalTxBox.jpg" TargetMode="External"/><Relationship Id="rId104" Type="http://schemas.openxmlformats.org/officeDocument/2006/relationships/hyperlink" Target="https://dcc.ligo.org/cgi-bin/private/DocDB/ShowDocument?docid=D1200172" TargetMode="External"/><Relationship Id="rId120" Type="http://schemas.openxmlformats.org/officeDocument/2006/relationships/hyperlink" Target="https://dcc.ligo.org/cgi-bin/private/DocDB/ShowDocument?docid=D1200169" TargetMode="External"/><Relationship Id="rId125" Type="http://schemas.openxmlformats.org/officeDocument/2006/relationships/hyperlink" Target="https://dcc.ligo.org/cgi-bin/private/DocDB/ShowDocument?docid=77187" TargetMode="External"/><Relationship Id="rId141" Type="http://schemas.openxmlformats.org/officeDocument/2006/relationships/header" Target="header1.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yperlink" Target="https://dcc.ligo.org/cgi-bin/private/DocDB/ShowDocument?docid=62336" TargetMode="External"/><Relationship Id="rId2" Type="http://schemas.openxmlformats.org/officeDocument/2006/relationships/numbering" Target="numbering.xml"/><Relationship Id="rId29" Type="http://schemas.openxmlformats.org/officeDocument/2006/relationships/hyperlink" Target="https://dcc.ligo.org/cgi-bin/private/DocDB/ShowDocument?docid=58642" TargetMode="External"/><Relationship Id="rId24" Type="http://schemas.openxmlformats.org/officeDocument/2006/relationships/hyperlink" Target="http://www.nist.gov/calibrations/upload/sp250_75.pdf" TargetMode="External"/><Relationship Id="rId40" Type="http://schemas.openxmlformats.org/officeDocument/2006/relationships/hyperlink" Target="https://dcc.ligo.org/cgi-bin/private/DocDB/ShowDocument?docid=75789" TargetMode="External"/><Relationship Id="rId45" Type="http://schemas.openxmlformats.org/officeDocument/2006/relationships/image" Target="media/image9.png"/><Relationship Id="rId66" Type="http://schemas.openxmlformats.org/officeDocument/2006/relationships/image" Target="media/image17.jpeg"/><Relationship Id="rId87" Type="http://schemas.openxmlformats.org/officeDocument/2006/relationships/hyperlink" Target="http://www.keithley.com/products/dcac/sensitive/lowcurrent/?mn=428-PROG" TargetMode="External"/><Relationship Id="rId110" Type="http://schemas.openxmlformats.org/officeDocument/2006/relationships/hyperlink" Target="https://dcc.ligo.org/cgi-bin/private/DocDB/ShowDocument?docid=77187" TargetMode="External"/><Relationship Id="rId115" Type="http://schemas.openxmlformats.org/officeDocument/2006/relationships/hyperlink" Target="https://dcc.ligo.org/cgi-bin/private/DocDB/ShowDocument?docid=68411" TargetMode="External"/><Relationship Id="rId131" Type="http://schemas.openxmlformats.org/officeDocument/2006/relationships/hyperlink" Target="https://dcc.ligo.org/cgi-bin/private/DocDB/ShowDocument?docid=D1200195" TargetMode="External"/><Relationship Id="rId136" Type="http://schemas.openxmlformats.org/officeDocument/2006/relationships/hyperlink" Target="https://dcc.ligo.org/cgi-bin/private/DocDB/ShowDocument?docid=D1200179" TargetMode="External"/><Relationship Id="rId61" Type="http://schemas.openxmlformats.org/officeDocument/2006/relationships/hyperlink" Target="https://dcc.ligo.org/cgi-bin/private/DocDB/ShowDocument?docid=3909" TargetMode="External"/><Relationship Id="rId82" Type="http://schemas.openxmlformats.org/officeDocument/2006/relationships/image" Target="media/image29.png"/><Relationship Id="rId19" Type="http://schemas.openxmlformats.org/officeDocument/2006/relationships/hyperlink" Target="https://dcc.ligo.org/cgi-bin/private/DocDB/ShowDocument?docid=8510" TargetMode="External"/><Relationship Id="rId14" Type="http://schemas.openxmlformats.org/officeDocument/2006/relationships/hyperlink" Target="https://dcc.ligo.org/cgi-bin/private/DocDB/ShowDocument?docid=27806" TargetMode="External"/><Relationship Id="rId30" Type="http://schemas.openxmlformats.org/officeDocument/2006/relationships/hyperlink" Target="https://dcc.ligo.org/cgi-bin/private/DocDB/ShowDocument?docid=76188" TargetMode="External"/><Relationship Id="rId35" Type="http://schemas.microsoft.com/office/2007/relationships/hdphoto" Target="media/hdphoto1.wdp"/><Relationship Id="rId56" Type="http://schemas.openxmlformats.org/officeDocument/2006/relationships/image" Target="media/image14.png"/><Relationship Id="rId77" Type="http://schemas.openxmlformats.org/officeDocument/2006/relationships/hyperlink" Target="https://dcc.ligo.org/cgi-bin/private/DocDB/ShowDocument?docid=74449" TargetMode="External"/><Relationship Id="rId100" Type="http://schemas.openxmlformats.org/officeDocument/2006/relationships/hyperlink" Target="https://dcc.ligo.org/cgi-bin/private/DocDB/ShowDocument?docid=D1200216" TargetMode="External"/><Relationship Id="rId105" Type="http://schemas.openxmlformats.org/officeDocument/2006/relationships/hyperlink" Target="https://dcc.ligo.org/cgi-bin/private/DocDB/ShowDocument?docid=D1200171" TargetMode="External"/><Relationship Id="rId126" Type="http://schemas.openxmlformats.org/officeDocument/2006/relationships/hyperlink" Target="https://dcc.ligo.org/cgi-bin/private/DocDB/ShowDocument?docid=69011" TargetMode="External"/><Relationship Id="rId8" Type="http://schemas.openxmlformats.org/officeDocument/2006/relationships/endnotes" Target="endnotes.xml"/><Relationship Id="rId51" Type="http://schemas.openxmlformats.org/officeDocument/2006/relationships/hyperlink" Target="https://dcc.ligo.org/cgi-bin/private/DocDB/ShowDocument?docid=74449" TargetMode="External"/><Relationship Id="rId72" Type="http://schemas.openxmlformats.org/officeDocument/2006/relationships/hyperlink" Target="https://dcc.ligo.org/cgi-bin/private/DocDB/ShowDocument?docid=21203" TargetMode="External"/><Relationship Id="rId93" Type="http://schemas.openxmlformats.org/officeDocument/2006/relationships/hyperlink" Target="http://www.ligo-wa.caltech.edu/~michael.sakosky/PCALcal.html" TargetMode="External"/><Relationship Id="rId98" Type="http://schemas.openxmlformats.org/officeDocument/2006/relationships/hyperlink" Target="https://dcc.ligo.org/cgi-bin/private/DocDB/ShowDocument?docid=88813" TargetMode="External"/><Relationship Id="rId121" Type="http://schemas.openxmlformats.org/officeDocument/2006/relationships/hyperlink" Target="https://dcc.ligo.org/cgi-bin/private/DocDB/ShowDocument?docid=D1200180" TargetMode="External"/><Relationship Id="rId14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svn.ligo.caltech.edu/svn/calibration/trunk/calibration/frequencydomain/runs/S6/PhotonCalibrator/measurements/aLIGOstudies/rpnStudies/sensitivity.m" TargetMode="External"/><Relationship Id="rId2" Type="http://schemas.openxmlformats.org/officeDocument/2006/relationships/hyperlink" Target="https://dcc.ligo.org/DocDB/0022/T1000637/001/nistReportOfSpecialTest.pdf" TargetMode="External"/><Relationship Id="rId1" Type="http://schemas.openxmlformats.org/officeDocument/2006/relationships/hyperlink" Target="http://ts.nist.gov/Traceability/supplmatls/suppl_matls_for_nist_policy_rev.cf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Ber10</b:Tag>
    <b:SourceType>DocumentFromInternetSite</b:SourceType>
    <b:Guid>{3DCBE31C-FC2D-40A4-A652-01D2177F2A27}</b:Guid>
    <b:Title>Calibration of H1 Coil Actuation Coefficient Via Photon Calibrator For the S6 Science Run</b:Title>
    <b:Year>2010</b:Year>
    <b:Month>December</b:Month>
    <b:Day>20</b:Day>
    <b:Author>
      <b:Author>
        <b:NameList>
          <b:Person>
            <b:Last>Berliner</b:Last>
            <b:First>Jonathan</b:First>
            <b:Middle>M.</b:Middle>
          </b:Person>
          <b:Person>
            <b:Last>Savage</b:Last>
            <b:First>Rick</b:First>
            <b:Middle>L.</b:Middle>
          </b:Person>
        </b:NameList>
      </b:Author>
    </b:Author>
    <b:InternetSiteTitle>LIGO DCC</b:InternetSiteTitle>
    <b:URL>https://dcc.ligo.org/cgi-bin/private/DocDB/ShowDocument?docid=29291</b:URL>
    <b:RefOrder>2</b:RefOrder>
  </b:Source>
  <b:Source>
    <b:Tag>Ber101</b:Tag>
    <b:SourceType>DocumentFromInternetSite</b:SourceType>
    <b:Guid>{05101A15-ED43-4631-AC98-A56F2184EDE7}</b:Guid>
    <b:Title>Calibration of L1 Coil Actuation Coefficient Via Photon Calibrator For the S6 Science Run</b:Title>
    <b:InternetSiteTitle>LIGO DCC</b:InternetSiteTitle>
    <b:Year>2010</b:Year>
    <b:Month>December</b:Month>
    <b:Day>21</b:Day>
    <b:Author>
      <b:Author>
        <b:NameList>
          <b:Person>
            <b:Last>Berliner</b:Last>
            <b:First>Jonathan</b:First>
            <b:Middle>M.</b:Middle>
          </b:Person>
          <b:Person>
            <b:Last>Savage</b:Last>
            <b:First>Rick</b:First>
            <b:Middle>L.</b:Middle>
          </b:Person>
        </b:NameList>
      </b:Author>
    </b:Author>
    <b:URL>https://dcc.ligo.org/cgi-bin/private/DocDB/ShowDocument?docid=29433</b:URL>
    <b:RefOrder>3</b:RefOrder>
  </b:Source>
  <b:Source>
    <b:Tag>NIS11</b:Tag>
    <b:SourceType>DocumentFromInternetSite</b:SourceType>
    <b:Guid>{5BA67B18-EDF8-45A5-922D-CD2FED210C5B}</b:Guid>
    <b:Author>
      <b:Author>
        <b:Corporate>NIST</b:Corporate>
      </b:Author>
    </b:Author>
    <b:Title>CODATA Value: speed of light in vacuum</b:Title>
    <b:InternetSiteTitle>The NIST Reference on Constants, Units, and Uncertainty</b:InternetSiteTitle>
    <b:YearAccessed>2011</b:YearAccessed>
    <b:MonthAccessed>January</b:MonthAccessed>
    <b:DayAccessed>31</b:DayAccessed>
    <b:URL>http://physics.nist.gov/cgi-bin/cuu/Value?c</b:URL>
    <b:RefOrder>4</b:RefOrder>
  </b:Source>
  <b:Source>
    <b:Tag>LIG11</b:Tag>
    <b:SourceType>DocumentFromInternetSite</b:SourceType>
    <b:Guid>{7ED7F6F3-6223-4D33-B04B-5D130C4D62DF}</b:Guid>
    <b:Title>LIGO Lab Core Optics Database</b:Title>
    <b:InternetSiteTitle>LIGO CIT Web Services</b:InternetSiteTitle>
    <b:YearAccessed>2011</b:YearAccessed>
    <b:MonthAccessed>February</b:MonthAccessed>
    <b:DayAccessed>1</b:DayAccessed>
    <b:URL>https://nebula.ligo.caltech.edu/optics/</b:URL>
    <b:Author>
      <b:Author>
        <b:Corporate>LIGO Laboratory</b:Corporate>
      </b:Author>
    </b:Author>
    <b:RefOrder>1</b:RefOrder>
  </b:Source>
  <b:Source>
    <b:Tag>NIS111</b:Tag>
    <b:SourceType>DocumentFromInternetSite</b:SourceType>
    <b:Guid>{C39FBC92-605A-483F-8A31-D3C29EF74027}</b:Guid>
    <b:Author>
      <b:Author>
        <b:Corporate>NIST</b:Corporate>
      </b:Author>
    </b:Author>
    <b:Title>NIST Policy on Traceability - Supplementary Materials</b:Title>
    <b:InternetSiteTitle>NIST Traceability Website</b:InternetSiteTitle>
    <b:YearAccessed>2011</b:YearAccessed>
    <b:MonthAccessed>February</b:MonthAccessed>
    <b:DayAccessed>1</b:DayAccessed>
    <b:URL>http://ts.nist.gov/Traceability/supplmatls/suppl_matls_for_nist_policy_rev.cfm#FAQ_General1</b:URL>
    <b:RefOrder>5</b:RefOrder>
  </b:Source>
  <b:Source>
    <b:Tag>NIS07</b:Tag>
    <b:SourceType>DocumentFromInternetSite</b:SourceType>
    <b:Guid>{DF5E6CA8-5A87-4149-80FD-4A9A3876880F}</b:Guid>
    <b:Author>
      <b:Author>
        <b:Corporate>NIST</b:Corporate>
      </b:Author>
    </b:Author>
    <b:Title>Report of Special Test</b:Title>
    <b:InternetSiteTitle>LIGO DCC</b:InternetSiteTitle>
    <b:Year>2007</b:Year>
    <b:Month>September</b:Month>
    <b:Day>25</b:Day>
    <b:URL>https://dcc.ligo.org/cgi-bin/private/DocDB/ShowDocument?docid=22508</b:URL>
    <b:RefOrder>6</b:RefOrder>
  </b:Source>
  <b:Source>
    <b:Tag>Kei11</b:Tag>
    <b:SourceType>DocumentFromInternetSite</b:SourceType>
    <b:Guid>{C77E7F32-6225-4A36-AEC6-88EA2BD44F0D}</b:Guid>
    <b:Author>
      <b:Author>
        <b:Corporate>Keithley Instruments</b:Corporate>
      </b:Author>
    </b:Author>
    <b:Title>2001 - High Performance</b:Title>
    <b:InternetSiteTitle>Keithley Instruments Inc.</b:InternetSiteTitle>
    <b:YearAccessed>2011</b:YearAccessed>
    <b:MonthAccessed>February</b:MonthAccessed>
    <b:DayAccessed>1</b:DayAccessed>
    <b:URL>http://www.keithley.com/products/dcac/dmm/highper/?mn=2001</b:URL>
    <b:RefOrder>7</b:RefOrder>
  </b:Source>
  <b:Source>
    <b:Tag>Kei111</b:Tag>
    <b:SourceType>DocumentFromInternetSite</b:SourceType>
    <b:Guid>{E9E6D898-A459-47C8-93CE-B7DBC4141AF4}</b:Guid>
    <b:Author>
      <b:Author>
        <b:Corporate>Keithley Instruments</b:Corporate>
      </b:Author>
    </b:Author>
    <b:Title>428-PROG - Low Current Meters (Picoammeters)</b:Title>
    <b:InternetSiteTitle>Keithley Instruments Inc.</b:InternetSiteTitle>
    <b:YearAccessed>2011</b:YearAccessed>
    <b:MonthAccessed>February</b:MonthAccessed>
    <b:DayAccessed>1</b:DayAccessed>
    <b:URL>http://www.keithley.com/products/dcac/sensitive/lowcurrent/?mn=428-PROG</b:URL>
    <b:RefOrder>8</b:RefOrder>
  </b:Source>
  <b:Source>
    <b:Tag>Cry11</b:Tag>
    <b:SourceType>DocumentFromInternetSite</b:SourceType>
    <b:Guid>{4E8C50E4-62A0-443D-9389-A8249476461D}</b:Guid>
    <b:Author>
      <b:Author>
        <b:Corporate>CrystaLaser</b:Corporate>
      </b:Author>
    </b:Author>
    <b:Title>Diode Pumped Infrared 1047 nm CrystaLaser</b:Title>
    <b:InternetSiteTitle>Diode Pumped CrystaLaser</b:InternetSiteTitle>
    <b:YearAccessed>2011</b:YearAccessed>
    <b:MonthAccessed>February</b:MonthAccessed>
    <b:DayAccessed>2</b:DayAccessed>
    <b:URL>http://www.crystalaser.com/CL1047.pdf</b:URL>
    <b:RefOrder>9</b:RefOrder>
  </b:Source>
  <b:Source>
    <b:Tag>Dav10</b:Tag>
    <b:SourceType>DocumentFromInternetSite</b:SourceType>
    <b:Guid>{A17995B0-7446-43C7-9379-EB2BDCF95599}</b:Guid>
    <b:Author>
      <b:Author>
        <b:NameList>
          <b:Person>
            <b:Last>Shoemaker</b:Last>
            <b:First>David</b:First>
          </b:Person>
        </b:NameList>
      </b:Author>
    </b:Author>
    <b:Title>Advanced LIGO Anticipated Sensitivty Curves</b:Title>
    <b:InternetSiteTitle>LIGO DCC</b:InternetSiteTitle>
    <b:Year>2010</b:Year>
    <b:Month>January</b:Month>
    <b:Day>26</b:Day>
    <b:URL>https://dcc.ligo.org/cgi-bin/DocDB/ShowDocument?docid=2974</b:URL>
    <b:RefOrder>10</b:RefOrder>
  </b:Source>
</b:Sources>
</file>

<file path=customXml/itemProps1.xml><?xml version="1.0" encoding="utf-8"?>
<ds:datastoreItem xmlns:ds="http://schemas.openxmlformats.org/officeDocument/2006/customXml" ds:itemID="{C8AF98B6-F9F5-40B9-B05C-349F4C62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40</Pages>
  <Words>8393</Words>
  <Characters>59188</Characters>
  <Application>Microsoft Office Word</Application>
  <DocSecurity>0</DocSecurity>
  <Lines>1259</Lines>
  <Paragraphs>742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66839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Jonathan Berliner</cp:lastModifiedBy>
  <cp:revision>8</cp:revision>
  <cp:lastPrinted>2012-01-04T07:34:00Z</cp:lastPrinted>
  <dcterms:created xsi:type="dcterms:W3CDTF">2012-03-28T16:42:00Z</dcterms:created>
  <dcterms:modified xsi:type="dcterms:W3CDTF">2012-04-09T14:07:00Z</dcterms:modified>
</cp:coreProperties>
</file>