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B1B59" w:rsidRDefault="00FB1B59">
      <w:pPr>
        <w:pStyle w:val="PlainText"/>
        <w:jc w:val="center"/>
        <w:rPr>
          <w:i/>
          <w:sz w:val="36"/>
        </w:rPr>
      </w:pPr>
    </w:p>
    <w:p w:rsidR="00FB1B59" w:rsidRDefault="00FB1B59">
      <w:pPr>
        <w:pStyle w:val="PlainText"/>
        <w:jc w:val="center"/>
        <w:rPr>
          <w:i/>
          <w:sz w:val="36"/>
        </w:rPr>
      </w:pPr>
      <w:r>
        <w:rPr>
          <w:i/>
          <w:sz w:val="36"/>
        </w:rPr>
        <w:t>LIGO Laboratory / LIGO Scientific Collaboration</w:t>
      </w:r>
    </w:p>
    <w:p w:rsidR="00FB1B59" w:rsidRDefault="00FB1B59">
      <w:pPr>
        <w:pStyle w:val="PlainText"/>
        <w:jc w:val="center"/>
        <w:rPr>
          <w:sz w:val="36"/>
        </w:rPr>
      </w:pPr>
    </w:p>
    <w:p w:rsidR="00FB1B59" w:rsidRDefault="00FB1B59">
      <w:pPr>
        <w:pStyle w:val="PlainText"/>
        <w:jc w:val="left"/>
        <w:rPr>
          <w:sz w:val="36"/>
        </w:rPr>
      </w:pPr>
    </w:p>
    <w:p w:rsidR="00FB1B59" w:rsidRDefault="00921521"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LIGO-T1100080-v3</w:t>
      </w:r>
      <w:r w:rsidR="00FB1B59">
        <w:tab/>
      </w:r>
      <w:r w:rsidR="00FB1B59">
        <w:rPr>
          <w:rFonts w:ascii="Times" w:hAnsi="Times"/>
          <w:i/>
          <w:iCs/>
          <w:color w:val="0000FF"/>
          <w:sz w:val="40"/>
        </w:rPr>
        <w:t>LIGO</w:t>
      </w:r>
      <w:r w:rsidR="00FB1B59">
        <w:tab/>
      </w:r>
      <w:r w:rsidR="006A71B0">
        <w:t>March 9</w:t>
      </w:r>
      <w:r w:rsidR="00FB1B59">
        <w:t>, 2011</w:t>
      </w:r>
    </w:p>
    <w:p w:rsidR="00FB1B59" w:rsidRDefault="00FB1B59">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v:imagedata r:id="rId7" o:title=""/>
          </v:rect>
        </w:pict>
      </w:r>
    </w:p>
    <w:p w:rsidR="00FB1B59" w:rsidRDefault="00FB1B59">
      <w:pPr>
        <w:pStyle w:val="BodyText"/>
        <w:pBdr>
          <w:top w:val="threeDEmboss" w:sz="24" w:space="1" w:color="auto"/>
          <w:left w:val="threeDEmboss" w:sz="24" w:space="4" w:color="auto"/>
          <w:bottom w:val="threeDEmboss" w:sz="24" w:space="1" w:color="auto"/>
          <w:right w:val="threeDEmboss" w:sz="24" w:space="4" w:color="auto"/>
        </w:pBdr>
      </w:pPr>
      <w:r>
        <w:t>Commissioning Advanced LIGO’s First Arm Cavity</w:t>
      </w:r>
    </w:p>
    <w:p w:rsidR="00FB1B59" w:rsidRDefault="00FB1B59">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v:imagedata r:id="rId8" o:title=""/>
          </v:rect>
        </w:pict>
      </w:r>
    </w:p>
    <w:p w:rsidR="00FB1B59" w:rsidRDefault="00FB1B59" w:rsidP="00A27CCE">
      <w:pPr>
        <w:pBdr>
          <w:top w:val="threeDEmboss" w:sz="24" w:space="1" w:color="auto"/>
          <w:left w:val="threeDEmboss" w:sz="24" w:space="4" w:color="auto"/>
          <w:bottom w:val="threeDEmboss" w:sz="24" w:space="1" w:color="auto"/>
          <w:right w:val="threeDEmboss" w:sz="24" w:space="4" w:color="auto"/>
        </w:pBdr>
        <w:spacing w:before="0" w:after="120"/>
        <w:jc w:val="center"/>
      </w:pPr>
      <w:r>
        <w:t>P Fritschel, D Sigg</w:t>
      </w:r>
    </w:p>
    <w:p w:rsidR="00FB1B59" w:rsidRDefault="00FB1B59">
      <w:pPr>
        <w:pStyle w:val="PlainText"/>
        <w:spacing w:before="0"/>
        <w:jc w:val="center"/>
      </w:pPr>
    </w:p>
    <w:p w:rsidR="00FB1B59" w:rsidRDefault="00FB1B59">
      <w:pPr>
        <w:pStyle w:val="PlainText"/>
        <w:spacing w:before="0"/>
        <w:jc w:val="center"/>
      </w:pPr>
      <w:r>
        <w:t>Distribution of this document:</w:t>
      </w:r>
    </w:p>
    <w:p w:rsidR="00FB1B59" w:rsidRDefault="00FB1B59">
      <w:pPr>
        <w:pStyle w:val="PlainText"/>
        <w:spacing w:before="0"/>
        <w:jc w:val="center"/>
      </w:pPr>
      <w:r>
        <w:t>LIGO Scientific Collaboration</w:t>
      </w:r>
    </w:p>
    <w:p w:rsidR="00FB1B59" w:rsidRDefault="00FB1B59">
      <w:pPr>
        <w:pStyle w:val="PlainText"/>
        <w:spacing w:before="0"/>
        <w:jc w:val="center"/>
      </w:pPr>
    </w:p>
    <w:p w:rsidR="00FB1B59" w:rsidRDefault="00FB1B59">
      <w:pPr>
        <w:pStyle w:val="PlainText"/>
        <w:spacing w:before="0"/>
        <w:jc w:val="center"/>
      </w:pPr>
      <w:r>
        <w:t>This is an internal working note</w:t>
      </w:r>
    </w:p>
    <w:p w:rsidR="00FB1B59" w:rsidRDefault="00FB1B59">
      <w:pPr>
        <w:pStyle w:val="PlainText"/>
        <w:spacing w:before="0"/>
        <w:jc w:val="center"/>
      </w:pPr>
      <w:r>
        <w:t>of the LIGO Laboratory.</w:t>
      </w:r>
    </w:p>
    <w:p w:rsidR="00FB1B59" w:rsidRDefault="00FB1B59">
      <w:pPr>
        <w:pStyle w:val="PlainText"/>
        <w:spacing w:before="0"/>
        <w:jc w:val="left"/>
      </w:pPr>
    </w:p>
    <w:tbl>
      <w:tblPr>
        <w:tblW w:w="0" w:type="auto"/>
        <w:tblLook w:val="0000"/>
      </w:tblPr>
      <w:tblGrid>
        <w:gridCol w:w="4903"/>
        <w:gridCol w:w="4903"/>
      </w:tblGrid>
      <w:tr w:rsidR="00FB1B59">
        <w:tc>
          <w:tcPr>
            <w:tcW w:w="4909" w:type="dxa"/>
          </w:tcPr>
          <w:p w:rsidR="00FB1B59" w:rsidRDefault="00FB1B59">
            <w:pPr>
              <w:pStyle w:val="PlainText"/>
              <w:spacing w:before="0"/>
              <w:jc w:val="center"/>
              <w:rPr>
                <w:b/>
                <w:bCs/>
                <w:color w:val="808080"/>
              </w:rPr>
            </w:pPr>
            <w:r>
              <w:rPr>
                <w:b/>
                <w:bCs/>
                <w:color w:val="808080"/>
              </w:rPr>
              <w:t>California Institute of Technology</w:t>
            </w:r>
          </w:p>
          <w:p w:rsidR="00FB1B59" w:rsidRDefault="00FB1B59">
            <w:pPr>
              <w:pStyle w:val="PlainText"/>
              <w:spacing w:before="0"/>
              <w:jc w:val="center"/>
              <w:rPr>
                <w:b/>
                <w:bCs/>
                <w:color w:val="808080"/>
              </w:rPr>
            </w:pPr>
            <w:r>
              <w:rPr>
                <w:b/>
                <w:bCs/>
                <w:color w:val="808080"/>
              </w:rPr>
              <w:t>LIGO Project – MS 18-34</w:t>
            </w:r>
          </w:p>
          <w:p w:rsidR="00FB1B59" w:rsidRPr="005F48B2" w:rsidRDefault="00FB1B59">
            <w:pPr>
              <w:pStyle w:val="PlainText"/>
              <w:spacing w:before="0"/>
              <w:jc w:val="center"/>
              <w:rPr>
                <w:b/>
                <w:bCs/>
                <w:color w:val="808080"/>
                <w:lang w:val="it-IT"/>
              </w:rPr>
            </w:pPr>
            <w:r w:rsidRPr="005F48B2">
              <w:rPr>
                <w:b/>
                <w:bCs/>
                <w:color w:val="808080"/>
                <w:lang w:val="it-IT"/>
              </w:rPr>
              <w:t>1200 E. California Blvd.</w:t>
            </w:r>
          </w:p>
          <w:p w:rsidR="00FB1B59" w:rsidRPr="005F48B2" w:rsidRDefault="00FB1B59">
            <w:pPr>
              <w:pStyle w:val="PlainText"/>
              <w:spacing w:before="0"/>
              <w:jc w:val="center"/>
              <w:rPr>
                <w:b/>
                <w:bCs/>
                <w:color w:val="808080"/>
                <w:lang w:val="it-IT"/>
              </w:rPr>
            </w:pPr>
            <w:r w:rsidRPr="005F48B2">
              <w:rPr>
                <w:b/>
                <w:bCs/>
                <w:color w:val="808080"/>
                <w:lang w:val="it-IT"/>
              </w:rPr>
              <w:t>Pasadena, CA 91125</w:t>
            </w:r>
          </w:p>
          <w:p w:rsidR="00FB1B59" w:rsidRPr="00A16CA3" w:rsidRDefault="00FB1B59">
            <w:pPr>
              <w:pStyle w:val="PlainText"/>
              <w:spacing w:before="0"/>
              <w:jc w:val="center"/>
              <w:rPr>
                <w:color w:val="808080"/>
              </w:rPr>
            </w:pPr>
            <w:r w:rsidRPr="00A16CA3">
              <w:rPr>
                <w:color w:val="808080"/>
              </w:rPr>
              <w:t>Phone (626) 395-2129</w:t>
            </w:r>
          </w:p>
          <w:p w:rsidR="00FB1B59" w:rsidRPr="00A16CA3" w:rsidRDefault="00FB1B59">
            <w:pPr>
              <w:pStyle w:val="PlainText"/>
              <w:spacing w:before="0"/>
              <w:jc w:val="center"/>
              <w:rPr>
                <w:color w:val="808080"/>
              </w:rPr>
            </w:pPr>
            <w:r w:rsidRPr="00A16CA3">
              <w:rPr>
                <w:color w:val="808080"/>
              </w:rPr>
              <w:t>Fax (626) 304-9834</w:t>
            </w:r>
          </w:p>
          <w:p w:rsidR="00FB1B59" w:rsidRPr="00A16CA3" w:rsidRDefault="00FB1B59">
            <w:pPr>
              <w:pStyle w:val="PlainText"/>
              <w:spacing w:before="0"/>
              <w:jc w:val="center"/>
              <w:rPr>
                <w:color w:val="808080"/>
              </w:rPr>
            </w:pPr>
            <w:r w:rsidRPr="00A16CA3">
              <w:rPr>
                <w:color w:val="808080"/>
              </w:rPr>
              <w:t>E-mail: info@ligo.caltech.edu</w:t>
            </w:r>
          </w:p>
        </w:tc>
        <w:tc>
          <w:tcPr>
            <w:tcW w:w="4909" w:type="dxa"/>
          </w:tcPr>
          <w:p w:rsidR="00FB1B59" w:rsidRDefault="00FB1B59">
            <w:pPr>
              <w:pStyle w:val="PlainText"/>
              <w:spacing w:before="0"/>
              <w:jc w:val="center"/>
              <w:rPr>
                <w:b/>
                <w:bCs/>
                <w:color w:val="808080"/>
              </w:rPr>
            </w:pPr>
            <w:r>
              <w:rPr>
                <w:b/>
                <w:bCs/>
                <w:color w:val="808080"/>
              </w:rPr>
              <w:t>Massachusetts Institute of Technology</w:t>
            </w:r>
          </w:p>
          <w:p w:rsidR="00FB1B59" w:rsidRDefault="00FB1B59">
            <w:pPr>
              <w:pStyle w:val="PlainText"/>
              <w:spacing w:before="0"/>
              <w:jc w:val="center"/>
              <w:rPr>
                <w:b/>
                <w:bCs/>
                <w:color w:val="808080"/>
              </w:rPr>
            </w:pPr>
            <w:r>
              <w:rPr>
                <w:b/>
                <w:bCs/>
                <w:color w:val="808080"/>
              </w:rPr>
              <w:t>LIGO Project – NW22-295</w:t>
            </w:r>
          </w:p>
          <w:p w:rsidR="00FB1B59" w:rsidRDefault="00FB1B59">
            <w:pPr>
              <w:pStyle w:val="PlainText"/>
              <w:spacing w:before="0"/>
              <w:jc w:val="center"/>
              <w:rPr>
                <w:b/>
                <w:bCs/>
                <w:color w:val="808080"/>
              </w:rPr>
            </w:pPr>
            <w:r>
              <w:rPr>
                <w:b/>
                <w:bCs/>
                <w:color w:val="808080"/>
              </w:rPr>
              <w:t>185 Albany St</w:t>
            </w:r>
          </w:p>
          <w:p w:rsidR="00FB1B59" w:rsidRDefault="00FB1B59">
            <w:pPr>
              <w:pStyle w:val="PlainText"/>
              <w:spacing w:before="0"/>
              <w:jc w:val="center"/>
              <w:rPr>
                <w:b/>
                <w:bCs/>
                <w:color w:val="808080"/>
              </w:rPr>
            </w:pPr>
            <w:r>
              <w:rPr>
                <w:b/>
                <w:bCs/>
                <w:color w:val="808080"/>
              </w:rPr>
              <w:t>Cambridge, MA 02139</w:t>
            </w:r>
          </w:p>
          <w:p w:rsidR="00FB1B59" w:rsidRDefault="00FB1B59">
            <w:pPr>
              <w:pStyle w:val="PlainText"/>
              <w:spacing w:before="0"/>
              <w:jc w:val="center"/>
              <w:rPr>
                <w:color w:val="808080"/>
              </w:rPr>
            </w:pPr>
            <w:r>
              <w:rPr>
                <w:color w:val="808080"/>
              </w:rPr>
              <w:t>Phone (617) 253-4824</w:t>
            </w:r>
          </w:p>
          <w:p w:rsidR="00FB1B59" w:rsidRDefault="00FB1B59">
            <w:pPr>
              <w:pStyle w:val="PlainText"/>
              <w:spacing w:before="0"/>
              <w:jc w:val="center"/>
              <w:rPr>
                <w:color w:val="808080"/>
              </w:rPr>
            </w:pPr>
            <w:r>
              <w:rPr>
                <w:color w:val="808080"/>
              </w:rPr>
              <w:t>Fax (617) 253-7014</w:t>
            </w:r>
          </w:p>
          <w:p w:rsidR="00FB1B59" w:rsidRDefault="00FB1B59">
            <w:pPr>
              <w:pStyle w:val="PlainText"/>
              <w:spacing w:before="0"/>
              <w:jc w:val="center"/>
              <w:rPr>
                <w:color w:val="808080"/>
              </w:rPr>
            </w:pPr>
            <w:r>
              <w:rPr>
                <w:color w:val="808080"/>
              </w:rPr>
              <w:t>E-mail: info@ligo.mit.edu</w:t>
            </w:r>
          </w:p>
        </w:tc>
      </w:tr>
      <w:tr w:rsidR="00FB1B59">
        <w:tc>
          <w:tcPr>
            <w:tcW w:w="4909" w:type="dxa"/>
          </w:tcPr>
          <w:p w:rsidR="00FB1B59" w:rsidRDefault="00FB1B59">
            <w:pPr>
              <w:pStyle w:val="PlainText"/>
              <w:spacing w:before="0"/>
              <w:jc w:val="center"/>
              <w:rPr>
                <w:b/>
                <w:bCs/>
                <w:color w:val="808080"/>
              </w:rPr>
            </w:pPr>
          </w:p>
          <w:p w:rsidR="00FB1B59" w:rsidRDefault="00FB1B59">
            <w:pPr>
              <w:pStyle w:val="PlainText"/>
              <w:spacing w:before="0"/>
              <w:jc w:val="center"/>
              <w:rPr>
                <w:b/>
                <w:bCs/>
                <w:color w:val="808080"/>
              </w:rPr>
            </w:pPr>
            <w:r>
              <w:rPr>
                <w:b/>
                <w:bCs/>
                <w:color w:val="808080"/>
              </w:rPr>
              <w:t>LIGO Hanford Observatory</w:t>
            </w:r>
          </w:p>
          <w:p w:rsidR="00FB1B59" w:rsidRDefault="00FB1B59" w:rsidP="00FB3DAE">
            <w:pPr>
              <w:pStyle w:val="PlainText"/>
              <w:spacing w:before="0"/>
              <w:jc w:val="center"/>
              <w:rPr>
                <w:b/>
                <w:bCs/>
                <w:color w:val="808080"/>
              </w:rPr>
            </w:pPr>
            <w:r>
              <w:rPr>
                <w:b/>
                <w:bCs/>
                <w:color w:val="808080"/>
              </w:rPr>
              <w:t>P.O. Box 159</w:t>
            </w:r>
          </w:p>
          <w:p w:rsidR="00FB1B59" w:rsidRDefault="00FB1B59">
            <w:pPr>
              <w:pStyle w:val="PlainText"/>
              <w:spacing w:before="0"/>
              <w:jc w:val="center"/>
              <w:rPr>
                <w:b/>
                <w:bCs/>
                <w:color w:val="808080"/>
              </w:rPr>
            </w:pPr>
            <w:r>
              <w:rPr>
                <w:b/>
                <w:bCs/>
                <w:color w:val="808080"/>
              </w:rPr>
              <w:t>Richland WA 99352</w:t>
            </w:r>
          </w:p>
          <w:p w:rsidR="00FB1B59" w:rsidRDefault="00FB1B59">
            <w:pPr>
              <w:pStyle w:val="PlainText"/>
              <w:spacing w:before="0"/>
              <w:jc w:val="center"/>
              <w:rPr>
                <w:color w:val="808080"/>
              </w:rPr>
            </w:pPr>
            <w:r>
              <w:rPr>
                <w:color w:val="808080"/>
              </w:rPr>
              <w:t>Phone 509-372-8106</w:t>
            </w:r>
          </w:p>
          <w:p w:rsidR="00FB1B59" w:rsidRDefault="00FB1B59">
            <w:pPr>
              <w:pStyle w:val="PlainText"/>
              <w:spacing w:before="0"/>
              <w:jc w:val="center"/>
              <w:rPr>
                <w:b/>
                <w:bCs/>
                <w:color w:val="808080"/>
              </w:rPr>
            </w:pPr>
            <w:r>
              <w:rPr>
                <w:color w:val="808080"/>
              </w:rPr>
              <w:t>Fax 509-372-8137</w:t>
            </w:r>
          </w:p>
        </w:tc>
        <w:tc>
          <w:tcPr>
            <w:tcW w:w="4909" w:type="dxa"/>
          </w:tcPr>
          <w:p w:rsidR="00FB1B59" w:rsidRDefault="00FB1B59">
            <w:pPr>
              <w:pStyle w:val="PlainText"/>
              <w:spacing w:before="0"/>
              <w:jc w:val="center"/>
              <w:rPr>
                <w:b/>
                <w:bCs/>
                <w:color w:val="808080"/>
              </w:rPr>
            </w:pPr>
          </w:p>
          <w:p w:rsidR="00FB1B59" w:rsidRDefault="00FB1B59">
            <w:pPr>
              <w:pStyle w:val="PlainText"/>
              <w:spacing w:before="0"/>
              <w:jc w:val="center"/>
              <w:rPr>
                <w:b/>
                <w:bCs/>
                <w:color w:val="808080"/>
              </w:rPr>
            </w:pPr>
            <w:r>
              <w:rPr>
                <w:b/>
                <w:bCs/>
                <w:color w:val="808080"/>
              </w:rPr>
              <w:t>LIGO Livingston Observatory</w:t>
            </w:r>
          </w:p>
          <w:p w:rsidR="00FB1B59" w:rsidRDefault="00FB1B59">
            <w:pPr>
              <w:pStyle w:val="PlainText"/>
              <w:spacing w:before="0"/>
              <w:jc w:val="center"/>
              <w:rPr>
                <w:b/>
                <w:bCs/>
                <w:color w:val="808080"/>
              </w:rPr>
            </w:pPr>
            <w:r>
              <w:rPr>
                <w:b/>
                <w:bCs/>
                <w:color w:val="808080"/>
              </w:rPr>
              <w:t>P.O. Box 940</w:t>
            </w:r>
          </w:p>
          <w:p w:rsidR="00FB1B59" w:rsidRDefault="00FB1B59">
            <w:pPr>
              <w:pStyle w:val="PlainText"/>
              <w:spacing w:before="0"/>
              <w:jc w:val="center"/>
              <w:rPr>
                <w:b/>
                <w:bCs/>
                <w:color w:val="808080"/>
              </w:rPr>
            </w:pPr>
            <w:r>
              <w:rPr>
                <w:b/>
                <w:bCs/>
                <w:color w:val="808080"/>
              </w:rPr>
              <w:t>Livingston, LA  70754</w:t>
            </w:r>
          </w:p>
          <w:p w:rsidR="00FB1B59" w:rsidRDefault="00FB1B59">
            <w:pPr>
              <w:pStyle w:val="PlainText"/>
              <w:spacing w:before="0"/>
              <w:jc w:val="center"/>
              <w:rPr>
                <w:color w:val="808080"/>
              </w:rPr>
            </w:pPr>
            <w:r>
              <w:rPr>
                <w:color w:val="808080"/>
              </w:rPr>
              <w:t>Phone 225-686-3100</w:t>
            </w:r>
          </w:p>
          <w:p w:rsidR="00FB1B59" w:rsidRDefault="00FB1B59">
            <w:pPr>
              <w:pStyle w:val="PlainText"/>
              <w:spacing w:before="0"/>
              <w:jc w:val="center"/>
              <w:rPr>
                <w:b/>
                <w:bCs/>
                <w:color w:val="808080"/>
              </w:rPr>
            </w:pPr>
            <w:r>
              <w:rPr>
                <w:color w:val="808080"/>
              </w:rPr>
              <w:t>Fax 225-686-7189</w:t>
            </w:r>
          </w:p>
        </w:tc>
      </w:tr>
    </w:tbl>
    <w:p w:rsidR="00FB1B59" w:rsidRDefault="00FB1B59">
      <w:pPr>
        <w:pStyle w:val="PlainText"/>
        <w:jc w:val="center"/>
      </w:pPr>
      <w:r>
        <w:t>http://www.ligo.caltech.edu/</w:t>
      </w:r>
    </w:p>
    <w:p w:rsidR="00FB1B59" w:rsidRDefault="00FB1B59" w:rsidP="00624503">
      <w:pPr>
        <w:pStyle w:val="Heading1"/>
      </w:pPr>
      <w:r>
        <w:br w:type="page"/>
        <w:t>Introduction</w:t>
      </w:r>
    </w:p>
    <w:p w:rsidR="00FB1B59" w:rsidRDefault="00FB1B59">
      <w:r>
        <w:t>The first major interferometer integration phase in Advanced LIGO is the Y-arm cavity of Hanford’s H2 interferometer. Integrated testing of this first arm cavity is expected to begin in late summer/early fall of 2011. This document describes the ingredients, testing plans, and goals of this testing phase.</w:t>
      </w:r>
    </w:p>
    <w:p w:rsidR="00FB1B59" w:rsidRDefault="00FB1B59" w:rsidP="00624503">
      <w:pPr>
        <w:pStyle w:val="Heading1"/>
      </w:pPr>
      <w:r>
        <w:t>Motivation &amp; Context</w:t>
      </w:r>
    </w:p>
    <w:p w:rsidR="00FB1B59" w:rsidRDefault="00FB1B59">
      <w:r>
        <w:t xml:space="preserve">An interferometer must acquire lock reliably and robustly before serious strain sensitivity investigations can begin. The Advanced LIGO lock acquisition strategy is significantly different than in initial LIGO, and it was designed to improve upon the reliability and robustness of the earlier scheme. This acquisition strategy is described in </w:t>
      </w:r>
      <w:hyperlink r:id="rId9" w:history="1">
        <w:r w:rsidRPr="001E202C">
          <w:rPr>
            <w:rStyle w:val="Hyperlink"/>
          </w:rPr>
          <w:t>T1000294</w:t>
        </w:r>
      </w:hyperlink>
      <w:r>
        <w:t xml:space="preserve">, </w:t>
      </w:r>
      <w:r>
        <w:rPr>
          <w:i/>
        </w:rPr>
        <w:t>Lock acquisition study for Advanced LIGO.</w:t>
      </w:r>
      <w:r w:rsidR="00123503">
        <w:rPr>
          <w:i/>
        </w:rPr>
        <w:t xml:space="preserve"> </w:t>
      </w:r>
      <w:r>
        <w:t xml:space="preserve">A new feature that is a significant part of this strategy is the Arm Length Stabilization (ALS) system, which is described in </w:t>
      </w:r>
      <w:hyperlink r:id="rId10" w:history="1">
        <w:r w:rsidRPr="00D47828">
          <w:rPr>
            <w:rStyle w:val="Hyperlink"/>
          </w:rPr>
          <w:t>T0900144</w:t>
        </w:r>
      </w:hyperlink>
      <w:r>
        <w:t>. The ALS is designed to provide independent control of each arm cavity length. Given that it is a new system in Advanced LIGO and that it is critical to achieving full lock, it is highly desirable to implement and test the ALS as early as possible. Since H2 is unique in that its ITMs can be isolated from the rest of the vertex vacuum volume, the H2 Y arm</w:t>
      </w:r>
      <w:r>
        <w:rPr>
          <w:rStyle w:val="FootnoteReference"/>
        </w:rPr>
        <w:footnoteReference w:id="1"/>
      </w:r>
      <w:r>
        <w:t xml:space="preserve"> was chosen as the first arm cavity installation. We call this integration phase </w:t>
      </w:r>
      <w:r w:rsidR="00123503">
        <w:t xml:space="preserve">the </w:t>
      </w:r>
      <w:r>
        <w:t>H2</w:t>
      </w:r>
      <w:r w:rsidR="00A16CA3">
        <w:t>OAT (H2 One</w:t>
      </w:r>
      <w:r>
        <w:t xml:space="preserve"> Arm </w:t>
      </w:r>
      <w:r w:rsidR="00A16CA3">
        <w:t>Test</w:t>
      </w:r>
      <w:r>
        <w:t>).</w:t>
      </w:r>
    </w:p>
    <w:p w:rsidR="00FB1B59" w:rsidRDefault="00FB1B59">
      <w:r>
        <w:t xml:space="preserve">The other main motivation behind this approach was to integrate as early as possible the BSC seismic isolation system and the test mass quadruple suspension. These are the most complex mechanical assemblies in Advanced LIGO, and since they are what support and isolate the test masses it is critical that they function as designed. Though the </w:t>
      </w:r>
      <w:r w:rsidR="00A16CA3">
        <w:t>H2OAT</w:t>
      </w:r>
      <w:r>
        <w:t xml:space="preserve"> phase will not be able to test their noise performance in the gravitational-wave band, it will exercise a tricky installation and alignment procedure and enable investigation of the lower frequency motion of the combined system.</w:t>
      </w:r>
    </w:p>
    <w:p w:rsidR="00FB1B59" w:rsidRDefault="00FB1B59" w:rsidP="00281911">
      <w:r>
        <w:t xml:space="preserve">There are two main objectives of the </w:t>
      </w:r>
      <w:r w:rsidR="00A16CA3">
        <w:t>H2OAT</w:t>
      </w:r>
      <w:r>
        <w:t xml:space="preserve"> integration phase:</w:t>
      </w:r>
    </w:p>
    <w:p w:rsidR="00FB1B59" w:rsidRDefault="00FB1B59" w:rsidP="00281911">
      <w:pPr>
        <w:pStyle w:val="ListParagraph"/>
        <w:numPr>
          <w:ilvl w:val="0"/>
          <w:numId w:val="29"/>
        </w:numPr>
      </w:pPr>
      <w:r>
        <w:t>Attaining and verifying the performance of the ALS arm cavity locking, at the level required to support full interferometer lock acquisition.</w:t>
      </w:r>
    </w:p>
    <w:p w:rsidR="00FB1B59" w:rsidRDefault="00FB1B59" w:rsidP="00281911">
      <w:pPr>
        <w:pStyle w:val="ListParagraph"/>
        <w:numPr>
          <w:ilvl w:val="0"/>
          <w:numId w:val="29"/>
        </w:numPr>
      </w:pPr>
      <w:r>
        <w:t>Investigation of the low-frequency (&lt; 1 Hz) performance of the seismic isolation and suspension subsystems.</w:t>
      </w:r>
    </w:p>
    <w:p w:rsidR="00FB1B59" w:rsidRDefault="00FB1B59">
      <w:r>
        <w:t xml:space="preserve">These, and other secondary objectives, are discussed later in Section </w:t>
      </w:r>
      <w:fldSimple w:instr=" REF _Ref158710027 \r \h ">
        <w:r>
          <w:t>4</w:t>
        </w:r>
      </w:fldSimple>
      <w:r>
        <w:t>.</w:t>
      </w:r>
    </w:p>
    <w:p w:rsidR="00FB1B59" w:rsidRDefault="00FB1B59" w:rsidP="00624503">
      <w:pPr>
        <w:pStyle w:val="Heading1"/>
      </w:pPr>
      <w:r>
        <w:t>Components of the arm cavity integration phase</w:t>
      </w:r>
    </w:p>
    <w:p w:rsidR="00FB1B59" w:rsidRDefault="00FB1B59" w:rsidP="009C1900">
      <w:r>
        <w:t xml:space="preserve">The first arm cavity integration phase is not planned as some sort of special test – it is rather the first step in building and commissioning the full interferometer. As such, the nominal plan is to install all the Advanced LIGO hardware associated with the arm cavity, even though some of it may not be used or required during the integrated testing phase. There are though a few differences between </w:t>
      </w:r>
      <w:r w:rsidR="00A16CA3">
        <w:t>H2OAT</w:t>
      </w:r>
      <w:r>
        <w:t xml:space="preserve"> and the final installation; these are described below for each subsystem.</w:t>
      </w:r>
    </w:p>
    <w:p w:rsidR="00FB1B59" w:rsidRDefault="00FB1B59" w:rsidP="009C1900">
      <w:r>
        <w:t xml:space="preserve">A block diagram of the </w:t>
      </w:r>
      <w:r w:rsidR="00A16CA3">
        <w:t>H2OAT</w:t>
      </w:r>
      <w:r>
        <w:t xml:space="preserve"> is shown in </w:t>
      </w:r>
      <w:fldSimple w:instr=" REF _Ref158176419 ">
        <w:r w:rsidRPr="00FC1B09">
          <w:rPr>
            <w:sz w:val="22"/>
          </w:rPr>
          <w:t xml:space="preserve">Figure </w:t>
        </w:r>
        <w:r>
          <w:rPr>
            <w:noProof/>
            <w:sz w:val="22"/>
          </w:rPr>
          <w:t>1</w:t>
        </w:r>
      </w:fldSimple>
      <w:r>
        <w:t xml:space="preserve">. The arm cavity is comprised of the Input Test Mass (ITM) and the End Test Mass (ETM), both mounted in quadruple suspensions with their associated reaction chains and reaction masses (Compensation Plate for the ITM and End Reaction Mass for the ETM). In the test, the arm cavity is illuminated from the ETM, by a low-power 532nm laser located at the Y-end station. The laser beam is launched into the cavity through the suspended Transmission Monitor, which includes a telescope to expand the beam to the arm cavity mode size. The laser is reflection-locked to the cavity, and from there various aspects of the system are configured and characterized as discussed later. Note that the PSL is not involved in this phase (except as an option; see below), and there is no sensing of the beam in the vertex. </w:t>
      </w:r>
    </w:p>
    <w:p w:rsidR="00FB1B59" w:rsidRDefault="001D4BB8" w:rsidP="004C27FF">
      <w:pPr>
        <w:pStyle w:val="Caption"/>
      </w:pPr>
      <w:r>
        <w:rPr>
          <w:noProof/>
        </w:rPr>
        <w:drawing>
          <wp:inline distT="0" distB="0" distL="0" distR="0">
            <wp:extent cx="5480304" cy="3035300"/>
            <wp:effectExtent l="6096" t="0" r="0" b="0"/>
            <wp:docPr id="13" name="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77225" cy="4572000"/>
                      <a:chOff x="304800" y="1524000"/>
                      <a:chExt cx="8277225" cy="4572000"/>
                    </a:xfrm>
                  </a:grpSpPr>
                  <a:sp>
                    <a:nvSpPr>
                      <a:cNvPr id="77" name="Rectangle 76"/>
                      <a:cNvSpPr/>
                    </a:nvSpPr>
                    <a:spPr bwMode="auto">
                      <a:xfrm>
                        <a:off x="3886200" y="3581400"/>
                        <a:ext cx="2133600" cy="685800"/>
                      </a:xfrm>
                      <a:prstGeom prst="rect">
                        <a:avLst/>
                      </a:prstGeom>
                      <a:solidFill>
                        <a:schemeClr val="bg1">
                          <a:lumMod val="85000"/>
                        </a:schemeClr>
                      </a:solidFill>
                      <a:ln w="25400" cap="flat" cmpd="sng" algn="ctr">
                        <a:solidFill>
                          <a:schemeClr val="tx1"/>
                        </a:solidFill>
                        <a:prstDash val="solid"/>
                        <a:round/>
                        <a:headEnd type="none" w="sm" len="sm"/>
                        <a:tailEnd type="none" w="sm" len="sm"/>
                      </a:ln>
                      <a:effectLst/>
                    </a:spPr>
                    <a:txSp>
                      <a:txBody>
                        <a:bodyP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endParaRPr lang="en-US">
                            <a:latin typeface="Times New Roman" pitchFamily="-109" charset="0"/>
                          </a:endParaRPr>
                        </a:p>
                      </a:txBody>
                      <a:useSpRect/>
                    </a:txSp>
                  </a:sp>
                  <a:sp>
                    <a:nvSpPr>
                      <a:cNvPr id="64" name="Round Same Side Corner Rectangle 63"/>
                      <a:cNvSpPr/>
                    </a:nvSpPr>
                    <a:spPr bwMode="auto">
                      <a:xfrm>
                        <a:off x="6019800" y="1524000"/>
                        <a:ext cx="2362200" cy="3124200"/>
                      </a:xfrm>
                      <a:prstGeom prst="round2SameRect">
                        <a:avLst>
                          <a:gd name="adj1" fmla="val 49774"/>
                          <a:gd name="adj2" fmla="val 16228"/>
                        </a:avLst>
                      </a:prstGeom>
                      <a:solidFill>
                        <a:schemeClr val="bg1">
                          <a:lumMod val="85000"/>
                        </a:schemeClr>
                      </a:solidFill>
                      <a:ln w="25400" cap="flat" cmpd="sng" algn="ctr">
                        <a:solidFill>
                          <a:schemeClr val="tx1"/>
                        </a:solidFill>
                        <a:prstDash val="solid"/>
                        <a:round/>
                        <a:headEnd type="none" w="sm" len="sm"/>
                        <a:tailEnd type="none" w="sm" len="sm"/>
                      </a:ln>
                      <a:effectLst/>
                    </a:spPr>
                    <a:txSp>
                      <a:txBody>
                        <a:bodyP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endParaRPr lang="en-US">
                            <a:latin typeface="Times New Roman" pitchFamily="-109" charset="0"/>
                          </a:endParaRPr>
                        </a:p>
                      </a:txBody>
                      <a:useSpRect/>
                    </a:txSp>
                  </a:sp>
                  <a:sp>
                    <a:nvSpPr>
                      <a:cNvPr id="60" name="Round Same Side Corner Rectangle 59"/>
                      <a:cNvSpPr/>
                    </a:nvSpPr>
                    <a:spPr bwMode="auto">
                      <a:xfrm>
                        <a:off x="1524000" y="1524000"/>
                        <a:ext cx="2362200" cy="3124200"/>
                      </a:xfrm>
                      <a:prstGeom prst="round2SameRect">
                        <a:avLst>
                          <a:gd name="adj1" fmla="val 49774"/>
                          <a:gd name="adj2" fmla="val 16228"/>
                        </a:avLst>
                      </a:prstGeom>
                      <a:solidFill>
                        <a:schemeClr val="bg1">
                          <a:lumMod val="85000"/>
                        </a:schemeClr>
                      </a:solidFill>
                      <a:ln w="25400" cap="flat" cmpd="sng" algn="ctr">
                        <a:solidFill>
                          <a:schemeClr val="tx1"/>
                        </a:solidFill>
                        <a:prstDash val="solid"/>
                        <a:round/>
                        <a:headEnd type="none" w="sm" len="sm"/>
                        <a:tailEnd type="none" w="sm" len="sm"/>
                      </a:ln>
                      <a:effectLst/>
                    </a:spPr>
                    <a:txSp>
                      <a:txBody>
                        <a:bodyP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endParaRPr lang="en-US">
                            <a:latin typeface="Times New Roman" pitchFamily="-109" charset="0"/>
                          </a:endParaRPr>
                        </a:p>
                      </a:txBody>
                      <a:useSpRect/>
                    </a:txSp>
                  </a:sp>
                  <a:sp>
                    <a:nvSpPr>
                      <a:cNvPr id="5" name="Rectangle 4"/>
                      <a:cNvSpPr/>
                    </a:nvSpPr>
                    <a:spPr bwMode="auto">
                      <a:xfrm>
                        <a:off x="1600200" y="2362200"/>
                        <a:ext cx="2209800" cy="304800"/>
                      </a:xfrm>
                      <a:prstGeom prst="rect">
                        <a:avLst/>
                      </a:prstGeom>
                      <a:solidFill>
                        <a:schemeClr val="accent2">
                          <a:lumMod val="60000"/>
                          <a:lumOff val="40000"/>
                        </a:schemeClr>
                      </a:solidFill>
                      <a:ln w="12700" cap="flat" cmpd="sng" algn="ctr">
                        <a:solidFill>
                          <a:schemeClr val="tx1">
                            <a:lumMod val="50000"/>
                          </a:schemeClr>
                        </a:solidFill>
                        <a:prstDash val="solid"/>
                        <a:round/>
                        <a:headEnd type="none" w="sm" len="sm"/>
                        <a:tailEnd type="none" w="sm" len="sm"/>
                      </a:ln>
                      <a:effectLst/>
                    </a:spPr>
                    <a:txSp>
                      <a:txBody>
                        <a:bodyPr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200" dirty="0">
                              <a:latin typeface="+mn-lt"/>
                            </a:rPr>
                            <a:t>BSC ISI</a:t>
                          </a:r>
                          <a:endParaRPr lang="en-US" sz="1200" dirty="0">
                            <a:latin typeface="+mn-lt"/>
                          </a:endParaRPr>
                        </a:p>
                      </a:txBody>
                      <a:useSpRect/>
                    </a:txSp>
                  </a:sp>
                  <a:sp>
                    <a:nvSpPr>
                      <a:cNvPr id="6" name="Rectangle 5"/>
                      <a:cNvSpPr/>
                    </a:nvSpPr>
                    <a:spPr bwMode="auto">
                      <a:xfrm>
                        <a:off x="3505200" y="2438400"/>
                        <a:ext cx="533400" cy="228600"/>
                      </a:xfrm>
                      <a:prstGeom prst="rect">
                        <a:avLst/>
                      </a:prstGeom>
                      <a:solidFill>
                        <a:schemeClr val="tx1">
                          <a:lumMod val="75000"/>
                        </a:schemeClr>
                      </a:solidFill>
                      <a:ln w="12700" cap="flat" cmpd="sng" algn="ctr">
                        <a:solidFill>
                          <a:schemeClr val="tx1">
                            <a:lumMod val="50000"/>
                          </a:schemeClr>
                        </a:solidFill>
                        <a:prstDash val="solid"/>
                        <a:round/>
                        <a:headEnd type="none" w="sm" len="sm"/>
                        <a:tailEnd type="none" w="sm" len="sm"/>
                      </a:ln>
                      <a:effectLst/>
                    </a:spPr>
                    <a:txSp>
                      <a:txBody>
                        <a:bodyPr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100" dirty="0">
                              <a:solidFill>
                                <a:schemeClr val="bg1"/>
                              </a:solidFill>
                              <a:latin typeface="+mn-lt"/>
                            </a:rPr>
                            <a:t>HEPI</a:t>
                          </a:r>
                          <a:endParaRPr lang="en-US" sz="1100" dirty="0">
                            <a:solidFill>
                              <a:schemeClr val="bg1"/>
                            </a:solidFill>
                            <a:latin typeface="+mn-lt"/>
                          </a:endParaRPr>
                        </a:p>
                      </a:txBody>
                      <a:useSpRect/>
                    </a:txSp>
                  </a:sp>
                  <a:sp>
                    <a:nvSpPr>
                      <a:cNvPr id="7" name="Rectangle 6"/>
                      <a:cNvSpPr/>
                    </a:nvSpPr>
                    <a:spPr bwMode="auto">
                      <a:xfrm>
                        <a:off x="1371600" y="2438400"/>
                        <a:ext cx="533400" cy="228600"/>
                      </a:xfrm>
                      <a:prstGeom prst="rect">
                        <a:avLst/>
                      </a:prstGeom>
                      <a:solidFill>
                        <a:schemeClr val="tx1">
                          <a:lumMod val="75000"/>
                        </a:schemeClr>
                      </a:solidFill>
                      <a:ln w="12700" cap="flat" cmpd="sng" algn="ctr">
                        <a:solidFill>
                          <a:schemeClr val="tx1">
                            <a:lumMod val="50000"/>
                          </a:schemeClr>
                        </a:solidFill>
                        <a:prstDash val="solid"/>
                        <a:round/>
                        <a:headEnd type="none" w="sm" len="sm"/>
                        <a:tailEnd type="none" w="sm" len="sm"/>
                      </a:ln>
                      <a:effectLst/>
                    </a:spPr>
                    <a:txSp>
                      <a:txBody>
                        <a:bodyPr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100" dirty="0">
                              <a:solidFill>
                                <a:schemeClr val="bg1"/>
                              </a:solidFill>
                              <a:latin typeface="+mn-lt"/>
                            </a:rPr>
                            <a:t>HEPI</a:t>
                          </a:r>
                          <a:endParaRPr lang="en-US" sz="1100" dirty="0">
                            <a:solidFill>
                              <a:schemeClr val="bg1"/>
                            </a:solidFill>
                            <a:latin typeface="+mn-lt"/>
                          </a:endParaRPr>
                        </a:p>
                      </a:txBody>
                      <a:useSpRect/>
                    </a:txSp>
                  </a:sp>
                  <a:sp>
                    <a:nvSpPr>
                      <a:cNvPr id="8" name="Rectangle 7"/>
                      <a:cNvSpPr/>
                    </a:nvSpPr>
                    <a:spPr bwMode="auto">
                      <a:xfrm>
                        <a:off x="2819400" y="2667000"/>
                        <a:ext cx="381000" cy="1600200"/>
                      </a:xfrm>
                      <a:prstGeom prst="rect">
                        <a:avLst/>
                      </a:prstGeom>
                      <a:solidFill>
                        <a:schemeClr val="tx2">
                          <a:lumMod val="65000"/>
                          <a:lumOff val="35000"/>
                        </a:schemeClr>
                      </a:solidFill>
                      <a:ln w="12700" cap="flat" cmpd="sng" algn="ctr">
                        <a:solidFill>
                          <a:schemeClr val="tx1"/>
                        </a:solidFill>
                        <a:prstDash val="solid"/>
                        <a:round/>
                        <a:headEnd type="none" w="sm" len="sm"/>
                        <a:tailEnd type="none" w="sm" len="sm"/>
                      </a:ln>
                      <a:effectLst/>
                    </a:spPr>
                    <a:txSp>
                      <a:txBody>
                        <a:bodyPr vert="vert270" tIns="137160"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lgn="r">
                            <a:defRPr/>
                          </a:pPr>
                          <a:r>
                            <a:rPr lang="en-US" sz="1200" dirty="0">
                              <a:solidFill>
                                <a:srgbClr val="FFFFFF"/>
                              </a:solidFill>
                              <a:latin typeface="+mn-lt"/>
                            </a:rPr>
                            <a:t>Quad SUS</a:t>
                          </a:r>
                          <a:endParaRPr lang="en-US" sz="1200" dirty="0">
                            <a:solidFill>
                              <a:srgbClr val="FFFFFF"/>
                            </a:solidFill>
                            <a:latin typeface="+mn-lt"/>
                          </a:endParaRPr>
                        </a:p>
                      </a:txBody>
                      <a:useSpRect/>
                    </a:txSp>
                  </a:sp>
                  <a:sp>
                    <a:nvSpPr>
                      <a:cNvPr id="10" name="Rectangle 9"/>
                      <a:cNvSpPr/>
                    </a:nvSpPr>
                    <a:spPr bwMode="auto">
                      <a:xfrm>
                        <a:off x="2057400" y="2667000"/>
                        <a:ext cx="381000" cy="1600200"/>
                      </a:xfrm>
                      <a:prstGeom prst="rect">
                        <a:avLst/>
                      </a:prstGeom>
                      <a:solidFill>
                        <a:schemeClr val="tx2">
                          <a:lumMod val="65000"/>
                          <a:lumOff val="35000"/>
                        </a:schemeClr>
                      </a:solidFill>
                      <a:ln w="12700" cap="flat" cmpd="sng" algn="ctr">
                        <a:solidFill>
                          <a:schemeClr val="tx1"/>
                        </a:solidFill>
                        <a:prstDash val="solid"/>
                        <a:round/>
                        <a:headEnd type="none" w="sm" len="sm"/>
                        <a:tailEnd type="none" w="sm" len="sm"/>
                      </a:ln>
                      <a:effectLst/>
                    </a:spPr>
                    <a:txSp>
                      <a:txBody>
                        <a:bodyPr vert="vert270" tIns="137160"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lgn="r">
                            <a:defRPr/>
                          </a:pPr>
                          <a:r>
                            <a:rPr lang="en-US" sz="1200" dirty="0" err="1">
                              <a:solidFill>
                                <a:srgbClr val="FFFFFF"/>
                              </a:solidFill>
                              <a:latin typeface="+mn-lt"/>
                            </a:rPr>
                            <a:t>TrMon</a:t>
                          </a:r>
                          <a:r>
                            <a:rPr lang="en-US" sz="1200" dirty="0">
                              <a:solidFill>
                                <a:srgbClr val="FFFFFF"/>
                              </a:solidFill>
                              <a:latin typeface="+mn-lt"/>
                            </a:rPr>
                            <a:t> SUS</a:t>
                          </a:r>
                          <a:endParaRPr lang="en-US" sz="1200" dirty="0">
                            <a:solidFill>
                              <a:srgbClr val="FFFFFF"/>
                            </a:solidFill>
                            <a:latin typeface="+mn-lt"/>
                          </a:endParaRPr>
                        </a:p>
                      </a:txBody>
                      <a:useSpRect/>
                    </a:txSp>
                  </a:sp>
                  <a:sp>
                    <a:nvSpPr>
                      <a:cNvPr id="25613" name="Rectangle 11"/>
                      <a:cNvSpPr>
                        <a:spLocks noChangeArrowheads="1"/>
                      </a:cNvSpPr>
                    </a:nvSpPr>
                    <a:spPr bwMode="auto">
                      <a:xfrm>
                        <a:off x="3505200" y="3759200"/>
                        <a:ext cx="152400" cy="457200"/>
                      </a:xfrm>
                      <a:prstGeom prst="rect">
                        <a:avLst/>
                      </a:prstGeom>
                      <a:noFill/>
                      <a:ln w="19050">
                        <a:solidFill>
                          <a:schemeClr val="tx2"/>
                        </a:solidFill>
                        <a:round/>
                        <a:headEnd type="none" w="sm" len="sm"/>
                        <a:tailEnd type="none" w="sm" len="sm"/>
                      </a:ln>
                    </a:spPr>
                    <a:txSp>
                      <a:txBody>
                        <a:bodyP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3" name="Rectangle 12"/>
                      <a:cNvSpPr/>
                    </a:nvSpPr>
                    <a:spPr bwMode="auto">
                      <a:xfrm>
                        <a:off x="3505200" y="3429000"/>
                        <a:ext cx="152400" cy="330200"/>
                      </a:xfrm>
                      <a:prstGeom prst="rect">
                        <a:avLst/>
                      </a:prstGeom>
                      <a:solidFill>
                        <a:schemeClr val="bg2">
                          <a:lumMod val="25000"/>
                        </a:schemeClr>
                      </a:solidFill>
                      <a:ln w="19050" cap="flat" cmpd="sng" algn="ctr">
                        <a:solidFill>
                          <a:schemeClr val="tx2"/>
                        </a:solidFill>
                        <a:prstDash val="solid"/>
                        <a:round/>
                        <a:headEnd type="none" w="sm" len="sm"/>
                        <a:tailEnd type="none" w="sm" len="sm"/>
                      </a:ln>
                      <a:effectLst/>
                    </a:spPr>
                    <a:txSp>
                      <a:txBody>
                        <a:bodyP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endParaRPr lang="en-US">
                            <a:latin typeface="Times New Roman" pitchFamily="-109" charset="0"/>
                          </a:endParaRPr>
                        </a:p>
                      </a:txBody>
                      <a:useSpRect/>
                    </a:txSp>
                  </a:sp>
                  <a:sp>
                    <a:nvSpPr>
                      <a:cNvPr id="14" name="Rectangle 13"/>
                      <a:cNvSpPr/>
                    </a:nvSpPr>
                    <a:spPr bwMode="auto">
                      <a:xfrm>
                        <a:off x="3505200" y="4208463"/>
                        <a:ext cx="152400" cy="330200"/>
                      </a:xfrm>
                      <a:prstGeom prst="rect">
                        <a:avLst/>
                      </a:prstGeom>
                      <a:solidFill>
                        <a:schemeClr val="bg2">
                          <a:lumMod val="25000"/>
                        </a:schemeClr>
                      </a:solidFill>
                      <a:ln w="19050" cap="flat" cmpd="sng" algn="ctr">
                        <a:solidFill>
                          <a:schemeClr val="tx2"/>
                        </a:solidFill>
                        <a:prstDash val="solid"/>
                        <a:round/>
                        <a:headEnd type="none" w="sm" len="sm"/>
                        <a:tailEnd type="none" w="sm" len="sm"/>
                      </a:ln>
                      <a:effectLst/>
                    </a:spPr>
                    <a:txSp>
                      <a:txBody>
                        <a:bodyP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endParaRPr lang="en-US">
                            <a:latin typeface="Times New Roman" pitchFamily="-109" charset="0"/>
                          </a:endParaRPr>
                        </a:p>
                      </a:txBody>
                      <a:useSpRect/>
                    </a:txSp>
                  </a:sp>
                  <a:cxnSp>
                    <a:nvCxnSpPr>
                      <a:cNvPr id="25616" name="Straight Connector 15"/>
                      <a:cNvCxnSpPr>
                        <a:cxnSpLocks noChangeShapeType="1"/>
                      </a:cNvCxnSpPr>
                    </a:nvCxnSpPr>
                    <a:spPr bwMode="auto">
                      <a:xfrm rot="16200000" flipV="1">
                        <a:off x="3205957" y="3047206"/>
                        <a:ext cx="749300" cy="1587"/>
                      </a:xfrm>
                      <a:prstGeom prst="line">
                        <a:avLst/>
                      </a:prstGeom>
                      <a:noFill/>
                      <a:ln w="19050">
                        <a:solidFill>
                          <a:srgbClr val="000000"/>
                        </a:solidFill>
                        <a:round/>
                        <a:headEnd type="none" w="sm" len="sm"/>
                        <a:tailEnd type="none" w="sm" len="sm"/>
                      </a:ln>
                    </a:spPr>
                  </a:cxnSp>
                  <a:sp>
                    <a:nvSpPr>
                      <a:cNvPr id="18" name="TextBox 17"/>
                      <a:cNvSpPr txBox="1"/>
                    </a:nvSpPr>
                    <a:spPr>
                      <a:xfrm rot="16200000">
                        <a:off x="3358356" y="4244182"/>
                        <a:ext cx="454025" cy="246062"/>
                      </a:xfrm>
                      <a:prstGeom prst="rect">
                        <a:avLst/>
                      </a:prstGeom>
                      <a:noFill/>
                    </a:spPr>
                    <a:txSp>
                      <a:txBody>
                        <a:bodyPr wrap="none">
                          <a:spAutoFit/>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000" dirty="0">
                              <a:solidFill>
                                <a:srgbClr val="FFFFFF"/>
                              </a:solidFill>
                              <a:latin typeface="+mn-lt"/>
                            </a:rPr>
                            <a:t>ACB</a:t>
                          </a:r>
                        </a:p>
                      </a:txBody>
                      <a:useSpRect/>
                    </a:txSp>
                  </a:sp>
                  <a:cxnSp>
                    <a:nvCxnSpPr>
                      <a:cNvPr id="25618" name="Straight Arrow Connector 20"/>
                      <a:cNvCxnSpPr>
                        <a:cxnSpLocks noChangeShapeType="1"/>
                      </a:cNvCxnSpPr>
                    </a:nvCxnSpPr>
                    <a:spPr bwMode="auto">
                      <a:xfrm>
                        <a:off x="1524000" y="5943600"/>
                        <a:ext cx="914400" cy="1588"/>
                      </a:xfrm>
                      <a:prstGeom prst="straightConnector1">
                        <a:avLst/>
                      </a:prstGeom>
                      <a:noFill/>
                      <a:ln w="25400">
                        <a:solidFill>
                          <a:srgbClr val="FF0000"/>
                        </a:solidFill>
                        <a:round/>
                        <a:headEnd type="none" w="sm" len="sm"/>
                        <a:tailEnd type="arrow" w="med" len="med"/>
                      </a:ln>
                    </a:spPr>
                  </a:cxnSp>
                  <a:sp>
                    <a:nvSpPr>
                      <a:cNvPr id="22" name="Rectangle 21"/>
                      <a:cNvSpPr/>
                    </a:nvSpPr>
                    <a:spPr bwMode="auto">
                      <a:xfrm>
                        <a:off x="2438400" y="5486400"/>
                        <a:ext cx="1295400" cy="609600"/>
                      </a:xfrm>
                      <a:prstGeom prst="rect">
                        <a:avLst/>
                      </a:prstGeom>
                      <a:solidFill>
                        <a:schemeClr val="accent5">
                          <a:lumMod val="25000"/>
                        </a:schemeClr>
                      </a:solidFill>
                      <a:ln w="12700" cap="flat" cmpd="sng" algn="ctr">
                        <a:solidFill>
                          <a:schemeClr val="tx1"/>
                        </a:solidFill>
                        <a:prstDash val="solid"/>
                        <a:round/>
                        <a:headEnd type="none" w="sm" len="sm"/>
                        <a:tailEnd type="none" w="sm" len="sm"/>
                      </a:ln>
                      <a:effectLst/>
                    </a:spPr>
                    <a:txSp>
                      <a:txBody>
                        <a:bodyPr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100" dirty="0" smtClean="0">
                              <a:solidFill>
                                <a:schemeClr val="bg1"/>
                              </a:solidFill>
                              <a:latin typeface="Helvetica"/>
                              <a:cs typeface="Helvetica"/>
                            </a:rPr>
                            <a:t>Phase locking to fiber-delivered reference</a:t>
                          </a:r>
                          <a:endParaRPr lang="en-US" sz="1100" dirty="0">
                            <a:solidFill>
                              <a:schemeClr val="bg1"/>
                            </a:solidFill>
                            <a:latin typeface="Helvetica"/>
                            <a:cs typeface="Helvetica"/>
                          </a:endParaRPr>
                        </a:p>
                      </a:txBody>
                      <a:useSpRect/>
                    </a:txSp>
                  </a:sp>
                  <a:cxnSp>
                    <a:nvCxnSpPr>
                      <a:cNvPr id="25620" name="Straight Arrow Connector 41"/>
                      <a:cNvCxnSpPr>
                        <a:cxnSpLocks noChangeShapeType="1"/>
                      </a:cNvCxnSpPr>
                    </a:nvCxnSpPr>
                    <a:spPr bwMode="auto">
                      <a:xfrm>
                        <a:off x="1816100" y="3986213"/>
                        <a:ext cx="304800" cy="1587"/>
                      </a:xfrm>
                      <a:prstGeom prst="straightConnector1">
                        <a:avLst/>
                      </a:prstGeom>
                      <a:noFill/>
                      <a:ln w="25400">
                        <a:solidFill>
                          <a:srgbClr val="49D821"/>
                        </a:solidFill>
                        <a:round/>
                        <a:headEnd type="none" w="sm" len="sm"/>
                        <a:tailEnd type="arrow" w="med" len="med"/>
                      </a:ln>
                    </a:spPr>
                  </a:cxnSp>
                  <a:cxnSp>
                    <a:nvCxnSpPr>
                      <a:cNvPr id="25621" name="Straight Connector 43"/>
                      <a:cNvCxnSpPr>
                        <a:cxnSpLocks noChangeShapeType="1"/>
                      </a:cNvCxnSpPr>
                    </a:nvCxnSpPr>
                    <a:spPr bwMode="auto">
                      <a:xfrm rot="5400000">
                        <a:off x="977901" y="4806950"/>
                        <a:ext cx="1663700" cy="3175"/>
                      </a:xfrm>
                      <a:prstGeom prst="line">
                        <a:avLst/>
                      </a:prstGeom>
                      <a:noFill/>
                      <a:ln w="25400">
                        <a:solidFill>
                          <a:srgbClr val="49D821"/>
                        </a:solidFill>
                        <a:round/>
                        <a:headEnd type="none" w="sm" len="sm"/>
                        <a:tailEnd type="none" w="sm" len="sm"/>
                      </a:ln>
                    </a:spPr>
                  </a:cxnSp>
                  <a:cxnSp>
                    <a:nvCxnSpPr>
                      <a:cNvPr id="25622" name="Straight Connector 45"/>
                      <a:cNvCxnSpPr>
                        <a:cxnSpLocks noChangeShapeType="1"/>
                      </a:cNvCxnSpPr>
                    </a:nvCxnSpPr>
                    <a:spPr bwMode="auto">
                      <a:xfrm rot="10800000">
                        <a:off x="1511300" y="5632450"/>
                        <a:ext cx="304800" cy="1588"/>
                      </a:xfrm>
                      <a:prstGeom prst="line">
                        <a:avLst/>
                      </a:prstGeom>
                      <a:noFill/>
                      <a:ln w="25400">
                        <a:solidFill>
                          <a:srgbClr val="49D821"/>
                        </a:solidFill>
                        <a:round/>
                        <a:headEnd type="none" w="sm" len="sm"/>
                        <a:tailEnd type="none" w="sm" len="sm"/>
                      </a:ln>
                    </a:spPr>
                  </a:cxnSp>
                  <a:sp>
                    <a:nvSpPr>
                      <a:cNvPr id="19" name="Rectangle 18"/>
                      <a:cNvSpPr/>
                    </a:nvSpPr>
                    <a:spPr bwMode="auto">
                      <a:xfrm>
                        <a:off x="304800" y="5486400"/>
                        <a:ext cx="1219200" cy="609600"/>
                      </a:xfrm>
                      <a:prstGeom prst="rect">
                        <a:avLst/>
                      </a:prstGeom>
                      <a:solidFill>
                        <a:srgbClr val="800000"/>
                      </a:solidFill>
                      <a:ln w="19050" cap="flat" cmpd="sng" algn="ctr">
                        <a:solidFill>
                          <a:srgbClr val="000000"/>
                        </a:solidFill>
                        <a:prstDash val="solid"/>
                        <a:round/>
                        <a:headEnd type="none" w="sm" len="sm"/>
                        <a:tailEnd type="none" w="sm" len="sm"/>
                      </a:ln>
                      <a:effectLst/>
                    </a:spPr>
                    <a:txSp>
                      <a:txBody>
                        <a:bodyPr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200" dirty="0">
                              <a:solidFill>
                                <a:srgbClr val="FFFFFF"/>
                              </a:solidFill>
                              <a:latin typeface="+mn-lt"/>
                            </a:rPr>
                            <a:t>1064 / 532 nm NPRO</a:t>
                          </a:r>
                          <a:endParaRPr lang="en-US" sz="1200" dirty="0">
                            <a:solidFill>
                              <a:srgbClr val="FFFFFF"/>
                            </a:solidFill>
                            <a:latin typeface="+mn-lt"/>
                          </a:endParaRPr>
                        </a:p>
                      </a:txBody>
                      <a:useSpRect/>
                    </a:txSp>
                  </a:sp>
                  <a:sp>
                    <a:nvSpPr>
                      <a:cNvPr id="47" name="Rectangle 46"/>
                      <a:cNvSpPr/>
                    </a:nvSpPr>
                    <a:spPr bwMode="auto">
                      <a:xfrm>
                        <a:off x="6096000" y="2362200"/>
                        <a:ext cx="2209800" cy="304800"/>
                      </a:xfrm>
                      <a:prstGeom prst="rect">
                        <a:avLst/>
                      </a:prstGeom>
                      <a:solidFill>
                        <a:schemeClr val="accent2">
                          <a:lumMod val="60000"/>
                          <a:lumOff val="40000"/>
                        </a:schemeClr>
                      </a:solidFill>
                      <a:ln w="12700" cap="flat" cmpd="sng" algn="ctr">
                        <a:solidFill>
                          <a:schemeClr val="tx1">
                            <a:lumMod val="50000"/>
                          </a:schemeClr>
                        </a:solidFill>
                        <a:prstDash val="solid"/>
                        <a:round/>
                        <a:headEnd type="none" w="sm" len="sm"/>
                        <a:tailEnd type="none" w="sm" len="sm"/>
                      </a:ln>
                      <a:effectLst/>
                    </a:spPr>
                    <a:txSp>
                      <a:txBody>
                        <a:bodyPr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200" dirty="0">
                              <a:latin typeface="+mn-lt"/>
                            </a:rPr>
                            <a:t>BSC ISI</a:t>
                          </a:r>
                          <a:endParaRPr lang="en-US" sz="1200" dirty="0">
                            <a:latin typeface="+mn-lt"/>
                          </a:endParaRPr>
                        </a:p>
                      </a:txBody>
                      <a:useSpRect/>
                    </a:txSp>
                  </a:sp>
                  <a:sp>
                    <a:nvSpPr>
                      <a:cNvPr id="48" name="Rectangle 47"/>
                      <a:cNvSpPr/>
                    </a:nvSpPr>
                    <a:spPr bwMode="auto">
                      <a:xfrm>
                        <a:off x="8001000" y="2438400"/>
                        <a:ext cx="533400" cy="228600"/>
                      </a:xfrm>
                      <a:prstGeom prst="rect">
                        <a:avLst/>
                      </a:prstGeom>
                      <a:solidFill>
                        <a:schemeClr val="tx1">
                          <a:lumMod val="75000"/>
                        </a:schemeClr>
                      </a:solidFill>
                      <a:ln w="12700" cap="flat" cmpd="sng" algn="ctr">
                        <a:solidFill>
                          <a:schemeClr val="tx1">
                            <a:lumMod val="50000"/>
                          </a:schemeClr>
                        </a:solidFill>
                        <a:prstDash val="solid"/>
                        <a:round/>
                        <a:headEnd type="none" w="sm" len="sm"/>
                        <a:tailEnd type="none" w="sm" len="sm"/>
                      </a:ln>
                      <a:effectLst/>
                    </a:spPr>
                    <a:txSp>
                      <a:txBody>
                        <a:bodyPr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100" dirty="0">
                              <a:solidFill>
                                <a:schemeClr val="bg1"/>
                              </a:solidFill>
                              <a:latin typeface="+mn-lt"/>
                            </a:rPr>
                            <a:t>HEPI</a:t>
                          </a:r>
                          <a:endParaRPr lang="en-US" sz="1100" dirty="0">
                            <a:solidFill>
                              <a:schemeClr val="bg1"/>
                            </a:solidFill>
                            <a:latin typeface="+mn-lt"/>
                          </a:endParaRPr>
                        </a:p>
                      </a:txBody>
                      <a:useSpRect/>
                    </a:txSp>
                  </a:sp>
                  <a:sp>
                    <a:nvSpPr>
                      <a:cNvPr id="49" name="Rectangle 48"/>
                      <a:cNvSpPr/>
                    </a:nvSpPr>
                    <a:spPr bwMode="auto">
                      <a:xfrm>
                        <a:off x="5867400" y="2438400"/>
                        <a:ext cx="533400" cy="228600"/>
                      </a:xfrm>
                      <a:prstGeom prst="rect">
                        <a:avLst/>
                      </a:prstGeom>
                      <a:solidFill>
                        <a:schemeClr val="tx1">
                          <a:lumMod val="75000"/>
                        </a:schemeClr>
                      </a:solidFill>
                      <a:ln w="12700" cap="flat" cmpd="sng" algn="ctr">
                        <a:solidFill>
                          <a:schemeClr val="tx1">
                            <a:lumMod val="50000"/>
                          </a:schemeClr>
                        </a:solidFill>
                        <a:prstDash val="solid"/>
                        <a:round/>
                        <a:headEnd type="none" w="sm" len="sm"/>
                        <a:tailEnd type="none" w="sm" len="sm"/>
                      </a:ln>
                      <a:effectLst/>
                    </a:spPr>
                    <a:txSp>
                      <a:txBody>
                        <a:bodyPr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100" dirty="0">
                              <a:solidFill>
                                <a:schemeClr val="bg1"/>
                              </a:solidFill>
                              <a:latin typeface="+mn-lt"/>
                            </a:rPr>
                            <a:t>HEPI</a:t>
                          </a:r>
                          <a:endParaRPr lang="en-US" sz="1100" dirty="0">
                            <a:solidFill>
                              <a:schemeClr val="bg1"/>
                            </a:solidFill>
                            <a:latin typeface="+mn-lt"/>
                          </a:endParaRPr>
                        </a:p>
                      </a:txBody>
                      <a:useSpRect/>
                    </a:txSp>
                  </a:sp>
                  <a:sp>
                    <a:nvSpPr>
                      <a:cNvPr id="50" name="Rectangle 49"/>
                      <a:cNvSpPr/>
                    </a:nvSpPr>
                    <a:spPr bwMode="auto">
                      <a:xfrm>
                        <a:off x="6781800" y="2667000"/>
                        <a:ext cx="381000" cy="1600200"/>
                      </a:xfrm>
                      <a:prstGeom prst="rect">
                        <a:avLst/>
                      </a:prstGeom>
                      <a:solidFill>
                        <a:schemeClr val="tx2">
                          <a:lumMod val="65000"/>
                          <a:lumOff val="35000"/>
                        </a:schemeClr>
                      </a:solidFill>
                      <a:ln w="12700" cap="flat" cmpd="sng" algn="ctr">
                        <a:solidFill>
                          <a:schemeClr val="tx1"/>
                        </a:solidFill>
                        <a:prstDash val="solid"/>
                        <a:round/>
                        <a:headEnd type="none" w="sm" len="sm"/>
                        <a:tailEnd type="none" w="sm" len="sm"/>
                      </a:ln>
                      <a:effectLst/>
                    </a:spPr>
                    <a:txSp>
                      <a:txBody>
                        <a:bodyPr vert="vert270" tIns="137160"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lgn="r">
                            <a:defRPr/>
                          </a:pPr>
                          <a:r>
                            <a:rPr lang="en-US" sz="1200" dirty="0">
                              <a:solidFill>
                                <a:srgbClr val="FFFFFF"/>
                              </a:solidFill>
                              <a:latin typeface="+mn-lt"/>
                            </a:rPr>
                            <a:t>Quad SUS</a:t>
                          </a:r>
                          <a:endParaRPr lang="en-US" sz="1200" dirty="0">
                            <a:solidFill>
                              <a:srgbClr val="FFFFFF"/>
                            </a:solidFill>
                            <a:latin typeface="+mn-lt"/>
                          </a:endParaRPr>
                        </a:p>
                      </a:txBody>
                      <a:useSpRect/>
                    </a:txSp>
                  </a:sp>
                  <a:sp>
                    <a:nvSpPr>
                      <a:cNvPr id="51" name="Rectangle 50"/>
                      <a:cNvSpPr/>
                    </a:nvSpPr>
                    <a:spPr bwMode="auto">
                      <a:xfrm>
                        <a:off x="6858000" y="3733800"/>
                        <a:ext cx="228600" cy="457200"/>
                      </a:xfrm>
                      <a:prstGeom prst="rect">
                        <a:avLst/>
                      </a:prstGeom>
                      <a:solidFill>
                        <a:srgbClr val="FFB200"/>
                      </a:solidFill>
                      <a:ln w="12700" cap="flat" cmpd="sng" algn="ctr">
                        <a:solidFill>
                          <a:srgbClr val="FFFFFF"/>
                        </a:solidFill>
                        <a:prstDash val="solid"/>
                        <a:round/>
                        <a:headEnd type="none" w="sm" len="sm"/>
                        <a:tailEnd type="none" w="sm" len="sm"/>
                      </a:ln>
                      <a:effectLst/>
                    </a:spPr>
                    <a:txSp>
                      <a:txBody>
                        <a:bodyPr vert="vert270"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200" dirty="0">
                              <a:solidFill>
                                <a:schemeClr val="tx2"/>
                              </a:solidFill>
                              <a:latin typeface="+mn-lt"/>
                            </a:rPr>
                            <a:t>ITM</a:t>
                          </a:r>
                          <a:endParaRPr lang="en-US" sz="1200" dirty="0">
                            <a:solidFill>
                              <a:schemeClr val="tx2"/>
                            </a:solidFill>
                            <a:latin typeface="+mn-lt"/>
                          </a:endParaRPr>
                        </a:p>
                      </a:txBody>
                      <a:useSpRect/>
                    </a:txSp>
                  </a:sp>
                  <a:sp>
                    <a:nvSpPr>
                      <a:cNvPr id="52" name="Rectangle 51"/>
                      <a:cNvSpPr/>
                    </a:nvSpPr>
                    <a:spPr bwMode="auto">
                      <a:xfrm>
                        <a:off x="7467600" y="2667000"/>
                        <a:ext cx="381000" cy="1600200"/>
                      </a:xfrm>
                      <a:prstGeom prst="rect">
                        <a:avLst/>
                      </a:prstGeom>
                      <a:solidFill>
                        <a:schemeClr val="tx2">
                          <a:lumMod val="65000"/>
                          <a:lumOff val="35000"/>
                        </a:schemeClr>
                      </a:solidFill>
                      <a:ln w="12700" cap="flat" cmpd="sng" algn="ctr">
                        <a:solidFill>
                          <a:schemeClr val="tx1"/>
                        </a:solidFill>
                        <a:prstDash val="solid"/>
                        <a:round/>
                        <a:headEnd type="none" w="sm" len="sm"/>
                        <a:tailEnd type="none" w="sm" len="sm"/>
                      </a:ln>
                      <a:effectLst/>
                    </a:spPr>
                    <a:txSp>
                      <a:txBody>
                        <a:bodyPr vert="vert270" tIns="137160"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lgn="r">
                            <a:defRPr/>
                          </a:pPr>
                          <a:r>
                            <a:rPr lang="en-US" sz="1200" dirty="0">
                              <a:solidFill>
                                <a:srgbClr val="FFFFFF"/>
                              </a:solidFill>
                              <a:latin typeface="+mn-lt"/>
                            </a:rPr>
                            <a:t>Triple SUS</a:t>
                          </a:r>
                          <a:endParaRPr lang="en-US" sz="1200" dirty="0">
                            <a:solidFill>
                              <a:srgbClr val="FFFFFF"/>
                            </a:solidFill>
                            <a:latin typeface="+mn-lt"/>
                          </a:endParaRPr>
                        </a:p>
                      </a:txBody>
                      <a:useSpRect/>
                    </a:txSp>
                  </a:sp>
                  <a:sp>
                    <a:nvSpPr>
                      <a:cNvPr id="53" name="Rectangle 52"/>
                      <a:cNvSpPr/>
                    </a:nvSpPr>
                    <a:spPr bwMode="auto">
                      <a:xfrm>
                        <a:off x="7543800" y="3810000"/>
                        <a:ext cx="228600" cy="381000"/>
                      </a:xfrm>
                      <a:prstGeom prst="rect">
                        <a:avLst/>
                      </a:prstGeom>
                      <a:solidFill>
                        <a:srgbClr val="FF6666"/>
                      </a:solidFill>
                      <a:ln w="12700" cap="flat" cmpd="sng" algn="ctr">
                        <a:solidFill>
                          <a:srgbClr val="FFFFFF"/>
                        </a:solidFill>
                        <a:prstDash val="solid"/>
                        <a:round/>
                        <a:headEnd type="none" w="sm" len="sm"/>
                        <a:tailEnd type="none" w="sm" len="sm"/>
                      </a:ln>
                      <a:effectLst/>
                    </a:spPr>
                    <a:txSp>
                      <a:txBody>
                        <a:bodyPr vert="vert270"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200" dirty="0">
                              <a:latin typeface="+mn-lt"/>
                            </a:rPr>
                            <a:t>FM</a:t>
                          </a:r>
                          <a:endParaRPr lang="en-US" sz="1200" dirty="0">
                            <a:latin typeface="+mn-lt"/>
                          </a:endParaRPr>
                        </a:p>
                      </a:txBody>
                      <a:useSpRect/>
                    </a:txSp>
                  </a:sp>
                  <a:sp>
                    <a:nvSpPr>
                      <a:cNvPr id="25631" name="Rectangle 53"/>
                      <a:cNvSpPr>
                        <a:spLocks noChangeArrowheads="1"/>
                      </a:cNvSpPr>
                    </a:nvSpPr>
                    <a:spPr bwMode="auto">
                      <a:xfrm>
                        <a:off x="6299200" y="3759200"/>
                        <a:ext cx="152400" cy="457200"/>
                      </a:xfrm>
                      <a:prstGeom prst="rect">
                        <a:avLst/>
                      </a:prstGeom>
                      <a:noFill/>
                      <a:ln w="19050">
                        <a:solidFill>
                          <a:schemeClr val="tx2"/>
                        </a:solidFill>
                        <a:round/>
                        <a:headEnd type="none" w="sm" len="sm"/>
                        <a:tailEnd type="none" w="sm" len="sm"/>
                      </a:ln>
                    </a:spPr>
                    <a:txSp>
                      <a:txBody>
                        <a:bodyP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55" name="Rectangle 54"/>
                      <a:cNvSpPr/>
                    </a:nvSpPr>
                    <a:spPr bwMode="auto">
                      <a:xfrm>
                        <a:off x="6299200" y="3429000"/>
                        <a:ext cx="152400" cy="330200"/>
                      </a:xfrm>
                      <a:prstGeom prst="rect">
                        <a:avLst/>
                      </a:prstGeom>
                      <a:solidFill>
                        <a:schemeClr val="bg2">
                          <a:lumMod val="25000"/>
                        </a:schemeClr>
                      </a:solidFill>
                      <a:ln w="19050" cap="flat" cmpd="sng" algn="ctr">
                        <a:solidFill>
                          <a:schemeClr val="tx2"/>
                        </a:solidFill>
                        <a:prstDash val="solid"/>
                        <a:round/>
                        <a:headEnd type="none" w="sm" len="sm"/>
                        <a:tailEnd type="none" w="sm" len="sm"/>
                      </a:ln>
                      <a:effectLst/>
                    </a:spPr>
                    <a:txSp>
                      <a:txBody>
                        <a:bodyP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endParaRPr lang="en-US">
                            <a:latin typeface="Times New Roman" pitchFamily="-109" charset="0"/>
                          </a:endParaRPr>
                        </a:p>
                      </a:txBody>
                      <a:useSpRect/>
                    </a:txSp>
                  </a:sp>
                  <a:sp>
                    <a:nvSpPr>
                      <a:cNvPr id="56" name="Rectangle 55"/>
                      <a:cNvSpPr/>
                    </a:nvSpPr>
                    <a:spPr bwMode="auto">
                      <a:xfrm>
                        <a:off x="6299200" y="4208463"/>
                        <a:ext cx="152400" cy="330200"/>
                      </a:xfrm>
                      <a:prstGeom prst="rect">
                        <a:avLst/>
                      </a:prstGeom>
                      <a:solidFill>
                        <a:schemeClr val="bg2">
                          <a:lumMod val="25000"/>
                        </a:schemeClr>
                      </a:solidFill>
                      <a:ln w="19050" cap="flat" cmpd="sng" algn="ctr">
                        <a:solidFill>
                          <a:schemeClr val="tx2"/>
                        </a:solidFill>
                        <a:prstDash val="solid"/>
                        <a:round/>
                        <a:headEnd type="none" w="sm" len="sm"/>
                        <a:tailEnd type="none" w="sm" len="sm"/>
                      </a:ln>
                      <a:effectLst/>
                    </a:spPr>
                    <a:txSp>
                      <a:txBody>
                        <a:bodyP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endParaRPr lang="en-US">
                            <a:latin typeface="Times New Roman" pitchFamily="-109" charset="0"/>
                          </a:endParaRPr>
                        </a:p>
                      </a:txBody>
                      <a:useSpRect/>
                    </a:txSp>
                  </a:sp>
                  <a:cxnSp>
                    <a:nvCxnSpPr>
                      <a:cNvPr id="25634" name="Straight Connector 62"/>
                      <a:cNvCxnSpPr>
                        <a:cxnSpLocks noChangeShapeType="1"/>
                        <a:stCxn id="11" idx="1"/>
                        <a:endCxn id="9" idx="3"/>
                      </a:cNvCxnSpPr>
                    </a:nvCxnSpPr>
                    <a:spPr bwMode="auto">
                      <a:xfrm rot="10800000" flipH="1">
                        <a:off x="2133600" y="3962400"/>
                        <a:ext cx="990600" cy="12700"/>
                      </a:xfrm>
                      <a:prstGeom prst="line">
                        <a:avLst/>
                      </a:prstGeom>
                      <a:noFill/>
                      <a:ln w="25400">
                        <a:solidFill>
                          <a:srgbClr val="49D821"/>
                        </a:solidFill>
                        <a:round/>
                        <a:headEnd type="none" w="sm" len="sm"/>
                        <a:tailEnd type="none" w="sm" len="sm"/>
                      </a:ln>
                    </a:spPr>
                  </a:cxnSp>
                  <a:cxnSp>
                    <a:nvCxnSpPr>
                      <a:cNvPr id="25635" name="Straight Connector 56"/>
                      <a:cNvCxnSpPr>
                        <a:cxnSpLocks noChangeShapeType="1"/>
                      </a:cNvCxnSpPr>
                    </a:nvCxnSpPr>
                    <a:spPr bwMode="auto">
                      <a:xfrm rot="16200000" flipV="1">
                        <a:off x="5999957" y="3040856"/>
                        <a:ext cx="749300" cy="1587"/>
                      </a:xfrm>
                      <a:prstGeom prst="line">
                        <a:avLst/>
                      </a:prstGeom>
                      <a:noFill/>
                      <a:ln w="19050">
                        <a:solidFill>
                          <a:srgbClr val="000000"/>
                        </a:solidFill>
                        <a:round/>
                        <a:headEnd type="none" w="sm" len="sm"/>
                        <a:tailEnd type="none" w="sm" len="sm"/>
                      </a:ln>
                    </a:spPr>
                  </a:cxnSp>
                  <a:sp>
                    <a:nvSpPr>
                      <a:cNvPr id="58" name="TextBox 57"/>
                      <a:cNvSpPr txBox="1"/>
                    </a:nvSpPr>
                    <a:spPr>
                      <a:xfrm rot="16200000">
                        <a:off x="6136481" y="4244182"/>
                        <a:ext cx="454025" cy="246062"/>
                      </a:xfrm>
                      <a:prstGeom prst="rect">
                        <a:avLst/>
                      </a:prstGeom>
                      <a:noFill/>
                    </a:spPr>
                    <a:txSp>
                      <a:txBody>
                        <a:bodyPr wrap="none">
                          <a:spAutoFit/>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000" dirty="0">
                              <a:solidFill>
                                <a:srgbClr val="FFFFFF"/>
                              </a:solidFill>
                              <a:latin typeface="+mn-lt"/>
                            </a:rPr>
                            <a:t>ACB</a:t>
                          </a:r>
                        </a:p>
                      </a:txBody>
                      <a:useSpRect/>
                    </a:txSp>
                  </a:sp>
                  <a:sp>
                    <a:nvSpPr>
                      <a:cNvPr id="25637" name="Left-Right Arrow 60"/>
                      <a:cNvSpPr>
                        <a:spLocks noChangeArrowheads="1"/>
                      </a:cNvSpPr>
                    </a:nvSpPr>
                    <a:spPr bwMode="auto">
                      <a:xfrm>
                        <a:off x="3124200" y="3886200"/>
                        <a:ext cx="3733800" cy="152400"/>
                      </a:xfrm>
                      <a:prstGeom prst="leftRightArrow">
                        <a:avLst>
                          <a:gd name="adj1" fmla="val 50000"/>
                          <a:gd name="adj2" fmla="val 50021"/>
                        </a:avLst>
                      </a:prstGeom>
                      <a:solidFill>
                        <a:srgbClr val="49D821"/>
                      </a:solidFill>
                      <a:ln w="12700">
                        <a:solidFill>
                          <a:srgbClr val="49D821"/>
                        </a:solidFill>
                        <a:round/>
                        <a:headEnd type="none" w="sm" len="sm"/>
                        <a:tailEnd type="none" w="sm" len="sm"/>
                      </a:ln>
                    </a:spPr>
                    <a:txSp>
                      <a:txBody>
                        <a:bodyP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9" name="Rectangle 8"/>
                      <a:cNvSpPr/>
                    </a:nvSpPr>
                    <a:spPr bwMode="auto">
                      <a:xfrm>
                        <a:off x="2895600" y="3733800"/>
                        <a:ext cx="228600" cy="457200"/>
                      </a:xfrm>
                      <a:prstGeom prst="rect">
                        <a:avLst/>
                      </a:prstGeom>
                      <a:solidFill>
                        <a:srgbClr val="FFB200"/>
                      </a:solidFill>
                      <a:ln w="12700" cap="flat" cmpd="sng" algn="ctr">
                        <a:solidFill>
                          <a:schemeClr val="bg1"/>
                        </a:solidFill>
                        <a:prstDash val="solid"/>
                        <a:round/>
                        <a:headEnd type="none" w="sm" len="sm"/>
                        <a:tailEnd type="none" w="sm" len="sm"/>
                      </a:ln>
                      <a:effectLst/>
                    </a:spPr>
                    <a:txSp>
                      <a:txBody>
                        <a:bodyPr vert="vert270"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200" dirty="0">
                              <a:solidFill>
                                <a:srgbClr val="000000"/>
                              </a:solidFill>
                              <a:latin typeface="+mn-lt"/>
                            </a:rPr>
                            <a:t>ETM</a:t>
                          </a:r>
                          <a:endParaRPr lang="en-US" sz="1200" dirty="0">
                            <a:solidFill>
                              <a:srgbClr val="000000"/>
                            </a:solidFill>
                            <a:latin typeface="+mn-lt"/>
                          </a:endParaRPr>
                        </a:p>
                      </a:txBody>
                      <a:useSpRect/>
                    </a:txSp>
                  </a:sp>
                  <a:sp>
                    <a:nvSpPr>
                      <a:cNvPr id="11" name="Rectangle 10"/>
                      <a:cNvSpPr/>
                    </a:nvSpPr>
                    <a:spPr bwMode="auto">
                      <a:xfrm>
                        <a:off x="2133600" y="3784600"/>
                        <a:ext cx="228600" cy="381000"/>
                      </a:xfrm>
                      <a:prstGeom prst="rect">
                        <a:avLst/>
                      </a:prstGeom>
                      <a:solidFill>
                        <a:srgbClr val="FF6666"/>
                      </a:solidFill>
                      <a:ln w="12700" cap="flat" cmpd="sng" algn="ctr">
                        <a:solidFill>
                          <a:srgbClr val="FFFFFF"/>
                        </a:solidFill>
                        <a:prstDash val="solid"/>
                        <a:round/>
                        <a:headEnd type="none" w="sm" len="sm"/>
                        <a:tailEnd type="none" w="sm" len="sm"/>
                      </a:ln>
                      <a:effectLst/>
                    </a:spPr>
                    <a:txSp>
                      <a:txBody>
                        <a:bodyPr vert="vert270"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defRPr/>
                          </a:pPr>
                          <a:r>
                            <a:rPr lang="en-US" sz="1200" dirty="0">
                              <a:latin typeface="+mn-lt"/>
                            </a:rPr>
                            <a:t>TM</a:t>
                          </a:r>
                          <a:endParaRPr lang="en-US" sz="1200" dirty="0">
                            <a:latin typeface="+mn-lt"/>
                          </a:endParaRPr>
                        </a:p>
                      </a:txBody>
                      <a:useSpRect/>
                    </a:txSp>
                  </a:sp>
                  <a:sp>
                    <a:nvSpPr>
                      <a:cNvPr id="25640" name="TextBox 66"/>
                      <a:cNvSpPr txBox="1">
                        <a:spLocks noChangeArrowheads="1"/>
                      </a:cNvSpPr>
                    </a:nvSpPr>
                    <a:spPr bwMode="auto">
                      <a:xfrm>
                        <a:off x="5486400" y="5029200"/>
                        <a:ext cx="3095625" cy="954088"/>
                      </a:xfrm>
                      <a:prstGeom prst="rect">
                        <a:avLst/>
                      </a:prstGeom>
                      <a:noFill/>
                      <a:ln w="9525">
                        <a:noFill/>
                        <a:miter lim="800000"/>
                        <a:headEnd/>
                        <a:tailEnd/>
                      </a:ln>
                    </a:spPr>
                    <a:txSp>
                      <a:txBody>
                        <a:bodyPr wrap="none">
                          <a:prstTxWarp prst="textNoShape">
                            <a:avLst/>
                          </a:prstTxWarp>
                          <a:spAutoFit/>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lgn="l"/>
                          <a:r>
                            <a:rPr lang="en-US" sz="1400" b="1">
                              <a:latin typeface="Helvetica" charset="0"/>
                              <a:ea typeface="Helvetica" charset="0"/>
                              <a:cs typeface="Helvetica" charset="0"/>
                            </a:rPr>
                            <a:t>LVEA:</a:t>
                          </a:r>
                        </a:p>
                        <a:p>
                          <a:pPr algn="l">
                            <a:buFont typeface="Arial" charset="0"/>
                            <a:buChar char="•"/>
                          </a:pPr>
                          <a:r>
                            <a:rPr lang="en-US" sz="1400">
                              <a:latin typeface="Helvetica" charset="0"/>
                              <a:ea typeface="Helvetica" charset="0"/>
                              <a:cs typeface="Helvetica" charset="0"/>
                            </a:rPr>
                            <a:t> No PSL</a:t>
                          </a:r>
                        </a:p>
                        <a:p>
                          <a:pPr algn="l">
                            <a:buFont typeface="Arial" charset="0"/>
                            <a:buChar char="•"/>
                          </a:pPr>
                          <a:r>
                            <a:rPr lang="en-US" sz="1400">
                              <a:latin typeface="Helvetica" charset="0"/>
                              <a:ea typeface="Helvetica" charset="0"/>
                              <a:cs typeface="Helvetica" charset="0"/>
                            </a:rPr>
                            <a:t> Test Mass optical lever (not shown)</a:t>
                          </a:r>
                        </a:p>
                        <a:p>
                          <a:pPr algn="l"/>
                          <a:endParaRPr lang="en-US" sz="1400">
                            <a:latin typeface="Helvetica" charset="0"/>
                            <a:ea typeface="Helvetica" charset="0"/>
                            <a:cs typeface="Helvetica" charset="0"/>
                          </a:endParaRPr>
                        </a:p>
                      </a:txBody>
                      <a:useSpRect/>
                    </a:txSp>
                  </a:sp>
                  <a:cxnSp>
                    <a:nvCxnSpPr>
                      <a:cNvPr id="25641" name="Straight Arrow Connector 68"/>
                      <a:cNvCxnSpPr>
                        <a:cxnSpLocks noChangeShapeType="1"/>
                      </a:cNvCxnSpPr>
                    </a:nvCxnSpPr>
                    <a:spPr bwMode="auto">
                      <a:xfrm>
                        <a:off x="5029200" y="5181600"/>
                        <a:ext cx="533400" cy="1588"/>
                      </a:xfrm>
                      <a:prstGeom prst="straightConnector1">
                        <a:avLst/>
                      </a:prstGeom>
                      <a:noFill/>
                      <a:ln w="25400">
                        <a:solidFill>
                          <a:srgbClr val="404040"/>
                        </a:solidFill>
                        <a:round/>
                        <a:headEnd type="diamond" w="lg" len="lg"/>
                        <a:tailEnd type="arrow" w="med" len="med"/>
                      </a:ln>
                    </a:spPr>
                  </a:cxnSp>
                  <a:cxnSp>
                    <a:nvCxnSpPr>
                      <a:cNvPr id="25642" name="Straight Arrow Connector 69"/>
                      <a:cNvCxnSpPr>
                        <a:cxnSpLocks noChangeShapeType="1"/>
                      </a:cNvCxnSpPr>
                    </a:nvCxnSpPr>
                    <a:spPr bwMode="auto">
                      <a:xfrm flipH="1">
                        <a:off x="4191000" y="5181600"/>
                        <a:ext cx="533400" cy="1588"/>
                      </a:xfrm>
                      <a:prstGeom prst="straightConnector1">
                        <a:avLst/>
                      </a:prstGeom>
                      <a:noFill/>
                      <a:ln w="25400">
                        <a:solidFill>
                          <a:srgbClr val="404040"/>
                        </a:solidFill>
                        <a:round/>
                        <a:headEnd type="diamond" w="lg" len="lg"/>
                        <a:tailEnd type="arrow" w="med" len="med"/>
                      </a:ln>
                    </a:spPr>
                  </a:cxnSp>
                  <a:sp>
                    <a:nvSpPr>
                      <a:cNvPr id="25643" name="TextBox 70"/>
                      <a:cNvSpPr txBox="1">
                        <a:spLocks noChangeArrowheads="1"/>
                      </a:cNvSpPr>
                    </a:nvSpPr>
                    <a:spPr bwMode="auto">
                      <a:xfrm>
                        <a:off x="3497263" y="5029200"/>
                        <a:ext cx="693737" cy="307975"/>
                      </a:xfrm>
                      <a:prstGeom prst="rect">
                        <a:avLst/>
                      </a:prstGeom>
                      <a:noFill/>
                      <a:ln w="9525">
                        <a:noFill/>
                        <a:miter lim="800000"/>
                        <a:headEnd/>
                        <a:tailEnd/>
                      </a:ln>
                    </a:spPr>
                    <a:txSp>
                      <a:txBody>
                        <a:bodyPr wrap="none">
                          <a:prstTxWarp prst="textNoShape">
                            <a:avLst/>
                          </a:prstTxWarp>
                          <a:spAutoFit/>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pPr algn="l"/>
                          <a:r>
                            <a:rPr lang="en-US" sz="1400" b="1">
                              <a:latin typeface="Helvetica" charset="0"/>
                              <a:ea typeface="Helvetica" charset="0"/>
                              <a:cs typeface="Helvetica" charset="0"/>
                            </a:rPr>
                            <a:t>Y-End</a:t>
                          </a:r>
                          <a:endParaRPr lang="en-US" sz="1400">
                            <a:latin typeface="Helvetica" charset="0"/>
                            <a:ea typeface="Helvetica" charset="0"/>
                            <a:cs typeface="Helvetica" charset="0"/>
                          </a:endParaRPr>
                        </a:p>
                      </a:txBody>
                      <a:useSpRect/>
                    </a:txSp>
                  </a:sp>
                  <a:sp>
                    <a:nvSpPr>
                      <a:cNvPr id="25644" name="Plaque 71"/>
                      <a:cNvSpPr>
                        <a:spLocks noChangeArrowheads="1"/>
                      </a:cNvSpPr>
                    </a:nvSpPr>
                    <a:spPr bwMode="auto">
                      <a:xfrm>
                        <a:off x="1582738" y="4800600"/>
                        <a:ext cx="457200" cy="457200"/>
                      </a:xfrm>
                      <a:prstGeom prst="plaque">
                        <a:avLst>
                          <a:gd name="adj" fmla="val 46824"/>
                        </a:avLst>
                      </a:prstGeom>
                      <a:solidFill>
                        <a:srgbClr val="008000">
                          <a:alpha val="70195"/>
                        </a:srgbClr>
                      </a:solidFill>
                      <a:ln w="12700">
                        <a:solidFill>
                          <a:schemeClr val="tx1"/>
                        </a:solidFill>
                        <a:round/>
                        <a:headEnd type="none" w="sm" len="sm"/>
                        <a:tailEnd type="none" w="sm" len="sm"/>
                      </a:ln>
                    </a:spPr>
                    <a:txSp>
                      <a:txBody>
                        <a:bodyP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endParaRPr lang="en-US"/>
                        </a:p>
                      </a:txBody>
                      <a:useSpRect/>
                    </a:txSp>
                  </a:sp>
                  <a:cxnSp>
                    <a:nvCxnSpPr>
                      <a:cNvPr id="25645" name="Straight Arrow Connector 73"/>
                      <a:cNvCxnSpPr>
                        <a:cxnSpLocks noChangeShapeType="1"/>
                        <a:stCxn id="25644" idx="1"/>
                      </a:cNvCxnSpPr>
                    </a:nvCxnSpPr>
                    <a:spPr bwMode="auto">
                      <a:xfrm rot="10800000" flipV="1">
                        <a:off x="1219200" y="5029200"/>
                        <a:ext cx="363538" cy="1588"/>
                      </a:xfrm>
                      <a:prstGeom prst="straightConnector1">
                        <a:avLst/>
                      </a:prstGeom>
                      <a:noFill/>
                      <a:ln w="28575">
                        <a:solidFill>
                          <a:srgbClr val="49D821"/>
                        </a:solidFill>
                        <a:round/>
                        <a:headEnd type="none" w="sm" len="sm"/>
                        <a:tailEnd type="arrow" w="med" len="med"/>
                      </a:ln>
                    </a:spPr>
                  </a:cxnSp>
                  <a:sp>
                    <a:nvSpPr>
                      <a:cNvPr id="25646" name="Rectangle 74"/>
                      <a:cNvSpPr>
                        <a:spLocks noChangeArrowheads="1"/>
                      </a:cNvSpPr>
                    </a:nvSpPr>
                    <a:spPr bwMode="auto">
                      <a:xfrm>
                        <a:off x="304800" y="4419600"/>
                        <a:ext cx="914400" cy="838200"/>
                      </a:xfrm>
                      <a:prstGeom prst="rect">
                        <a:avLst/>
                      </a:prstGeom>
                      <a:solidFill>
                        <a:srgbClr val="3A0073"/>
                      </a:solidFill>
                      <a:ln w="12700">
                        <a:solidFill>
                          <a:schemeClr val="tx1"/>
                        </a:solidFill>
                        <a:round/>
                        <a:headEnd type="none" w="sm" len="sm"/>
                        <a:tailEnd type="none" w="sm" len="sm"/>
                      </a:ln>
                    </a:spPr>
                    <a:txSp>
                      <a:txBody>
                        <a:bodyPr anchor="ctr">
                          <a:prstTxWarp prst="textNoShape">
                            <a:avLst/>
                          </a:prstTxWarp>
                        </a:bodyPr>
                        <a:lstStyle>
                          <a:defPPr>
                            <a:defRPr lang="en-US"/>
                          </a:defPPr>
                          <a:lvl1pPr algn="ctr" rtl="0" eaLnBrk="0" fontAlgn="base" hangingPunct="0">
                            <a:spcBef>
                              <a:spcPct val="0"/>
                            </a:spcBef>
                            <a:spcAft>
                              <a:spcPct val="0"/>
                            </a:spcAft>
                            <a:defRPr sz="2400" kern="1200">
                              <a:solidFill>
                                <a:schemeClr val="tx1"/>
                              </a:solidFill>
                              <a:latin typeface="Times New Roman" charset="0"/>
                              <a:ea typeface="+mn-ea"/>
                              <a:cs typeface="+mn-cs"/>
                            </a:defRPr>
                          </a:lvl1pPr>
                          <a:lvl2pPr marL="457200" algn="ctr" rtl="0" eaLnBrk="0" fontAlgn="base" hangingPunct="0">
                            <a:spcBef>
                              <a:spcPct val="0"/>
                            </a:spcBef>
                            <a:spcAft>
                              <a:spcPct val="0"/>
                            </a:spcAft>
                            <a:defRPr sz="2400" kern="1200">
                              <a:solidFill>
                                <a:schemeClr val="tx1"/>
                              </a:solidFill>
                              <a:latin typeface="Times New Roman" charset="0"/>
                              <a:ea typeface="+mn-ea"/>
                              <a:cs typeface="+mn-cs"/>
                            </a:defRPr>
                          </a:lvl2pPr>
                          <a:lvl3pPr marL="914400" algn="ctr" rtl="0" eaLnBrk="0" fontAlgn="base" hangingPunct="0">
                            <a:spcBef>
                              <a:spcPct val="0"/>
                            </a:spcBef>
                            <a:spcAft>
                              <a:spcPct val="0"/>
                            </a:spcAft>
                            <a:defRPr sz="2400" kern="1200">
                              <a:solidFill>
                                <a:schemeClr val="tx1"/>
                              </a:solidFill>
                              <a:latin typeface="Times New Roman" charset="0"/>
                              <a:ea typeface="+mn-ea"/>
                              <a:cs typeface="+mn-cs"/>
                            </a:defRPr>
                          </a:lvl3pPr>
                          <a:lvl4pPr marL="1371600" algn="ctr" rtl="0" eaLnBrk="0" fontAlgn="base" hangingPunct="0">
                            <a:spcBef>
                              <a:spcPct val="0"/>
                            </a:spcBef>
                            <a:spcAft>
                              <a:spcPct val="0"/>
                            </a:spcAft>
                            <a:defRPr sz="2400" kern="1200">
                              <a:solidFill>
                                <a:schemeClr val="tx1"/>
                              </a:solidFill>
                              <a:latin typeface="Times New Roman" charset="0"/>
                              <a:ea typeface="+mn-ea"/>
                              <a:cs typeface="+mn-cs"/>
                            </a:defRPr>
                          </a:lvl4pPr>
                          <a:lvl5pPr marL="1828800" algn="ctr" rtl="0" eaLnBrk="0" fontAlgn="base" hangingPunct="0">
                            <a:spcBef>
                              <a:spcPct val="0"/>
                            </a:spcBef>
                            <a:spcAft>
                              <a:spcPct val="0"/>
                            </a:spcAft>
                            <a:defRPr sz="2400" kern="1200">
                              <a:solidFill>
                                <a:schemeClr val="tx1"/>
                              </a:solidFill>
                              <a:latin typeface="Times New Roman" charset="0"/>
                              <a:ea typeface="+mn-ea"/>
                              <a:cs typeface="+mn-cs"/>
                            </a:defRPr>
                          </a:lvl5pPr>
                          <a:lvl6pPr marL="2286000" algn="l" defTabSz="457200" rtl="0" eaLnBrk="1" latinLnBrk="0" hangingPunct="1">
                            <a:defRPr sz="2400" kern="1200">
                              <a:solidFill>
                                <a:schemeClr val="tx1"/>
                              </a:solidFill>
                              <a:latin typeface="Times New Roman" charset="0"/>
                              <a:ea typeface="+mn-ea"/>
                              <a:cs typeface="+mn-cs"/>
                            </a:defRPr>
                          </a:lvl6pPr>
                          <a:lvl7pPr marL="2743200" algn="l" defTabSz="457200" rtl="0" eaLnBrk="1" latinLnBrk="0" hangingPunct="1">
                            <a:defRPr sz="2400" kern="1200">
                              <a:solidFill>
                                <a:schemeClr val="tx1"/>
                              </a:solidFill>
                              <a:latin typeface="Times New Roman" charset="0"/>
                              <a:ea typeface="+mn-ea"/>
                              <a:cs typeface="+mn-cs"/>
                            </a:defRPr>
                          </a:lvl7pPr>
                          <a:lvl8pPr marL="3200400" algn="l" defTabSz="457200" rtl="0" eaLnBrk="1" latinLnBrk="0" hangingPunct="1">
                            <a:defRPr sz="2400" kern="1200">
                              <a:solidFill>
                                <a:schemeClr val="tx1"/>
                              </a:solidFill>
                              <a:latin typeface="Times New Roman" charset="0"/>
                              <a:ea typeface="+mn-ea"/>
                              <a:cs typeface="+mn-cs"/>
                            </a:defRPr>
                          </a:lvl8pPr>
                          <a:lvl9pPr marL="3657600" algn="l" defTabSz="457200" rtl="0" eaLnBrk="1" latinLnBrk="0" hangingPunct="1">
                            <a:defRPr sz="2400" kern="1200">
                              <a:solidFill>
                                <a:schemeClr val="tx1"/>
                              </a:solidFill>
                              <a:latin typeface="Times New Roman" charset="0"/>
                              <a:ea typeface="+mn-ea"/>
                              <a:cs typeface="+mn-cs"/>
                            </a:defRPr>
                          </a:lvl9pPr>
                        </a:lstStyle>
                        <a:p>
                          <a:r>
                            <a:rPr lang="en-US" sz="1100">
                              <a:solidFill>
                                <a:srgbClr val="FFFFFF"/>
                              </a:solidFill>
                              <a:latin typeface="Helvetica" charset="0"/>
                              <a:ea typeface="Helvetica" charset="0"/>
                              <a:cs typeface="Helvetica" charset="0"/>
                            </a:rPr>
                            <a:t>Arm Cavity length &amp; alignment sensing</a:t>
                          </a:r>
                        </a:p>
                      </a:txBody>
                      <a:useSpRect/>
                    </a:txSp>
                  </a:sp>
                </lc:lockedCanvas>
              </a:graphicData>
            </a:graphic>
          </wp:inline>
        </w:drawing>
      </w:r>
    </w:p>
    <w:p w:rsidR="00FB1B59" w:rsidRPr="00FC1B09" w:rsidRDefault="00FB1B59" w:rsidP="00FC1B09">
      <w:pPr>
        <w:pStyle w:val="Caption"/>
        <w:rPr>
          <w:sz w:val="22"/>
        </w:rPr>
      </w:pPr>
      <w:bookmarkStart w:id="0" w:name="_Ref158176419"/>
      <w:r w:rsidRPr="00FC1B09">
        <w:rPr>
          <w:sz w:val="22"/>
        </w:rPr>
        <w:t xml:space="preserve">Figure </w:t>
      </w:r>
      <w:r w:rsidRPr="00FC1B09">
        <w:rPr>
          <w:sz w:val="22"/>
        </w:rPr>
        <w:fldChar w:fldCharType="begin"/>
      </w:r>
      <w:r w:rsidRPr="00FC1B09">
        <w:rPr>
          <w:sz w:val="22"/>
        </w:rPr>
        <w:instrText xml:space="preserve"> SEQ Figure \* ARABIC </w:instrText>
      </w:r>
      <w:r w:rsidRPr="00FC1B09">
        <w:rPr>
          <w:sz w:val="22"/>
        </w:rPr>
        <w:fldChar w:fldCharType="separate"/>
      </w:r>
      <w:r>
        <w:rPr>
          <w:noProof/>
          <w:sz w:val="22"/>
        </w:rPr>
        <w:t>1</w:t>
      </w:r>
      <w:r w:rsidRPr="00FC1B09">
        <w:rPr>
          <w:sz w:val="22"/>
        </w:rPr>
        <w:fldChar w:fldCharType="end"/>
      </w:r>
      <w:bookmarkEnd w:id="0"/>
      <w:r w:rsidRPr="00FC1B09">
        <w:rPr>
          <w:sz w:val="22"/>
        </w:rPr>
        <w:t xml:space="preserve">. </w:t>
      </w:r>
      <w:r w:rsidRPr="00FC1B09">
        <w:rPr>
          <w:b w:val="0"/>
          <w:sz w:val="22"/>
        </w:rPr>
        <w:t xml:space="preserve">Block diagram of the </w:t>
      </w:r>
      <w:r w:rsidR="00A16CA3">
        <w:rPr>
          <w:b w:val="0"/>
          <w:sz w:val="22"/>
        </w:rPr>
        <w:t>H2OAT</w:t>
      </w:r>
      <w:r w:rsidRPr="00FC1B09">
        <w:rPr>
          <w:b w:val="0"/>
          <w:sz w:val="22"/>
        </w:rPr>
        <w:t xml:space="preserve"> integration phase. ETM: End Test Mass; TM: Transmission Monitor; ITM: Input Test Mass; FM: Fold Mirror; ACB: Arm Cavity Baffle; ISI: Internal Seismic Isolation.</w:t>
      </w:r>
    </w:p>
    <w:p w:rsidR="00FB1B59" w:rsidRDefault="00FB1B59"/>
    <w:p w:rsidR="00FB1B59" w:rsidRDefault="00FB1B59" w:rsidP="00FC1B09">
      <w:pPr>
        <w:pStyle w:val="Heading2"/>
      </w:pPr>
      <w:r>
        <w:t>Core Optics Components</w:t>
      </w:r>
    </w:p>
    <w:p w:rsidR="00FB1B59" w:rsidRDefault="00FB1B59" w:rsidP="00FC1B09">
      <w:r>
        <w:t xml:space="preserve">From COC, the </w:t>
      </w:r>
      <w:r w:rsidR="00A16CA3">
        <w:t>H2OAT</w:t>
      </w:r>
      <w:r>
        <w:t xml:space="preserve"> setup requires: 1 End Test Mass; 1 End Reaction Mass; 1 Input Test Mass; 1 Compensation Plate. Ideally a Fold Mirror would also be included, but problems with the FM processing have delayed their production; instead, the FM triple suspension will be installed with a dummy metal mass that will later be replaced with the FM.</w:t>
      </w:r>
      <w:r w:rsidR="004916A3">
        <w:t xml:space="preserve"> Additionally, problems with the TM dielectric coatings means that the H2OAT will use temporary TMs that will</w:t>
      </w:r>
      <w:r w:rsidR="0063238D">
        <w:t xml:space="preserve"> later need to be replaced</w:t>
      </w:r>
      <w:r w:rsidR="004916A3">
        <w:t>.</w:t>
      </w:r>
      <w:r w:rsidR="0063238D">
        <w:t xml:space="preserve"> The temporary TMs have radii-of-curvature that are outside the ETM/ITM specifications; this changes the mode size in the cavity, which will need to be accommodated for </w:t>
      </w:r>
      <w:r w:rsidR="00465E78">
        <w:t xml:space="preserve">in the matching optics on the ALS table. </w:t>
      </w:r>
      <w:r w:rsidR="00FE4956">
        <w:t>(Higher order wavefront errors are also outside the specification, but the extra loss that this introduces is not significant for the H2OAT.) Since these TMs are temporary, we chose to have both of</w:t>
      </w:r>
      <w:r w:rsidR="00812678">
        <w:t xml:space="preserve"> them coated with the ITM-type</w:t>
      </w:r>
      <w:r w:rsidR="00FE4956">
        <w:t xml:space="preserve"> coating, rather than one ITM and one ETM; the ITM coating has a transmission of 1.4% for 1064 nm</w:t>
      </w:r>
      <w:r w:rsidR="00812678">
        <w:t xml:space="preserve"> (vs. 5 ppm for the ETM)</w:t>
      </w:r>
      <w:r w:rsidR="00FE4956">
        <w:t>, and 1.0% for 532 nm</w:t>
      </w:r>
      <w:r w:rsidR="00812678">
        <w:t xml:space="preserve"> (vs. 5% for the ETM)</w:t>
      </w:r>
      <w:r w:rsidR="00FE4956">
        <w:t>.</w:t>
      </w:r>
      <w:r w:rsidR="00812678">
        <w:t xml:space="preserve"> This means that the cavity finesse for 532 nm will be higher than nominal (300 vs. 100). It also means we will be able to probe the cavity from the </w:t>
      </w:r>
      <w:r w:rsidR="00F22608">
        <w:t>ETM with the 1064 nm beam, which we would not be able to do with the nominal ETM transmission.</w:t>
      </w:r>
    </w:p>
    <w:p w:rsidR="00FB1B59" w:rsidRDefault="00FB1B59" w:rsidP="00ED6AE0">
      <w:pPr>
        <w:pStyle w:val="Heading2"/>
      </w:pPr>
      <w:r>
        <w:t>Suspensions</w:t>
      </w:r>
    </w:p>
    <w:p w:rsidR="00FB1B59" w:rsidRDefault="00FB1B59" w:rsidP="00ED6AE0">
      <w:r>
        <w:t>From SUS, the setup requires: 2 Quadruple suspensions; 1 BS/FM triple suspension; control electronics for all suspensions. There are no planned deviations for these from their baseline designs.</w:t>
      </w:r>
    </w:p>
    <w:p w:rsidR="00FB1B59" w:rsidRDefault="00FB1B59" w:rsidP="00223EF4">
      <w:pPr>
        <w:pStyle w:val="Heading2"/>
      </w:pPr>
      <w:r>
        <w:t>Transmission Monitor and Suspension</w:t>
      </w:r>
    </w:p>
    <w:p w:rsidR="00FB1B59" w:rsidRDefault="00FB1B59" w:rsidP="00CD1AFF">
      <w:r>
        <w:t xml:space="preserve">The Transmission Monitor (TransMon) has three elements: beam reduction/expansion telescope (AOS); detection assembly for PSL and ALS beams (ISC); double suspension for the first two elements (AOS). The TransMon will be built and installed with no planned deviations from its baseline design. The ISC detection assembly will thus include the components that eventually are used to detect the ETM transmission of the PSL beam, but these components will not be used during the </w:t>
      </w:r>
      <w:r w:rsidR="00A16CA3">
        <w:t>H2OAT</w:t>
      </w:r>
      <w:r>
        <w:t>.</w:t>
      </w:r>
    </w:p>
    <w:p w:rsidR="00FB1B59" w:rsidRDefault="00FB1B59" w:rsidP="009E20CD">
      <w:pPr>
        <w:pStyle w:val="Heading2"/>
      </w:pPr>
      <w:r>
        <w:t>Seismic Isolation</w:t>
      </w:r>
    </w:p>
    <w:p w:rsidR="00FB1B59" w:rsidRDefault="00FB1B59" w:rsidP="009E20CD">
      <w:r>
        <w:t>This integration phase requires 2 full BSC seismic isolation systems: HEPI and ISI for each chamber, including control electronics.</w:t>
      </w:r>
      <w:r w:rsidR="00123503">
        <w:t xml:space="preserve"> </w:t>
      </w:r>
      <w:r>
        <w:t>Since the full vertex field plumbing for HEPI will not be done until later, temporary plumbing between the LVEA wall penetration and BSC8 will be installed. Otherwise, there are no other planned deviations from the baseline SEI designs.</w:t>
      </w:r>
    </w:p>
    <w:p w:rsidR="00FB1B59" w:rsidRDefault="00FB1B59" w:rsidP="00A46D5A">
      <w:pPr>
        <w:pStyle w:val="Heading2"/>
      </w:pPr>
      <w:r>
        <w:t>ISC &amp; Arm Length Stabilization</w:t>
      </w:r>
    </w:p>
    <w:p w:rsidR="00FB1B59" w:rsidRDefault="00FB1B59" w:rsidP="00A46D5A">
      <w:r>
        <w:t>The ALS system (</w:t>
      </w:r>
      <w:hyperlink r:id="rId11" w:history="1">
        <w:r w:rsidRPr="00D47828">
          <w:rPr>
            <w:rStyle w:val="Hyperlink"/>
          </w:rPr>
          <w:t>T0900144</w:t>
        </w:r>
      </w:hyperlink>
      <w:r>
        <w:t xml:space="preserve">) includes hardware at both the end stations and the corner station. The latter will not be installed for the </w:t>
      </w:r>
      <w:r w:rsidR="00A16CA3">
        <w:t>H2OAT</w:t>
      </w:r>
      <w:r>
        <w:t xml:space="preserve"> phase. Section 4 of T0900144-v4 describes the ALS setup (the ALS optics table and associated electronics) for the single arm test; </w:t>
      </w:r>
      <w:hyperlink r:id="rId12" w:history="1">
        <w:r w:rsidRPr="00250E05">
          <w:rPr>
            <w:rStyle w:val="Hyperlink"/>
          </w:rPr>
          <w:t>D1002803</w:t>
        </w:r>
      </w:hyperlink>
      <w:r>
        <w:t xml:space="preserve"> shows the block diagram for the ALS/ISC electronics. There are a few differences</w:t>
      </w:r>
      <w:r w:rsidR="00A16CA3">
        <w:t xml:space="preserve"> </w:t>
      </w:r>
      <w:r>
        <w:t xml:space="preserve">between the </w:t>
      </w:r>
      <w:r w:rsidR="00A16CA3">
        <w:t>H2OAT</w:t>
      </w:r>
      <w:r>
        <w:t xml:space="preserve"> and the long-term ALS setup:</w:t>
      </w:r>
    </w:p>
    <w:p w:rsidR="00FB1B59" w:rsidRDefault="00941B42" w:rsidP="00A46D5A">
      <w:pPr>
        <w:pStyle w:val="ListParagraph"/>
        <w:numPr>
          <w:ilvl w:val="0"/>
          <w:numId w:val="28"/>
        </w:numPr>
      </w:pPr>
      <w:r>
        <w:t xml:space="preserve">The ALS laser </w:t>
      </w:r>
      <w:r w:rsidR="00BB6F32">
        <w:t xml:space="preserve">(1064 nm output) </w:t>
      </w:r>
      <w:r>
        <w:t xml:space="preserve">will be </w:t>
      </w:r>
      <w:r w:rsidR="00BB6F32">
        <w:t>phase-locked to a reference cavity-stabilized NPRO located in the corner station optics lab; a sample of the optics lab NPRO is sent to the end station over fiber, and heterodyned with the ALS laser. This is the nominal ALS design, except that a sample of the PSL light will be sent to the ends via fiber</w:t>
      </w:r>
      <w:r w:rsidR="00FB1B59">
        <w:t xml:space="preserve">. </w:t>
      </w:r>
    </w:p>
    <w:p w:rsidR="00FB1B59" w:rsidRDefault="00FB1B59" w:rsidP="00A46D5A">
      <w:pPr>
        <w:pStyle w:val="ListParagraph"/>
        <w:numPr>
          <w:ilvl w:val="0"/>
          <w:numId w:val="28"/>
        </w:numPr>
      </w:pPr>
      <w:r>
        <w:t>Two RF wavefront sensors will be installed on the ALS table as a diagnostic to measure cavity (or input beam) alignment fluctuations. It is not currently planned that WFS will be part of the final ALS system (though that could change depending on the outcome of this testing phase).</w:t>
      </w:r>
    </w:p>
    <w:p w:rsidR="00FB1B59" w:rsidRDefault="00FB1B59" w:rsidP="00A46D5A">
      <w:pPr>
        <w:pStyle w:val="ListParagraph"/>
        <w:numPr>
          <w:ilvl w:val="0"/>
          <w:numId w:val="28"/>
        </w:numPr>
      </w:pPr>
      <w:r>
        <w:t xml:space="preserve">Pointing of the 532 nm beam into the ETM chamber is controlled by two piezo-actuated mirror mounts. In the test phase, these actuators will be driven by commercial controllers made by the supplier of the piezo-mounts (Mad City Labs). </w:t>
      </w:r>
    </w:p>
    <w:p w:rsidR="00FB1B59" w:rsidRDefault="001D4BB8" w:rsidP="00845165">
      <w:pPr>
        <w:keepNext/>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82550</wp:posOffset>
            </wp:positionV>
            <wp:extent cx="5504815" cy="4328160"/>
            <wp:effectExtent l="25400" t="0" r="6985" b="0"/>
            <wp:wrapTopAndBottom/>
            <wp:docPr id="5" name="Picture 5" descr="H2YAC_Serv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2YAC_Servo.pdf"/>
                    <pic:cNvPicPr>
                      <a:picLocks noChangeAspect="1" noChangeArrowheads="1"/>
                    </pic:cNvPicPr>
                  </pic:nvPicPr>
                  <pic:blipFill>
                    <a:blip r:embed="rId13"/>
                    <a:srcRect/>
                    <a:stretch>
                      <a:fillRect/>
                    </a:stretch>
                  </pic:blipFill>
                  <pic:spPr bwMode="auto">
                    <a:xfrm>
                      <a:off x="0" y="0"/>
                      <a:ext cx="5504815" cy="4328160"/>
                    </a:xfrm>
                    <a:prstGeom prst="rect">
                      <a:avLst/>
                    </a:prstGeom>
                    <a:noFill/>
                    <a:ln w="9525">
                      <a:noFill/>
                      <a:miter lim="800000"/>
                      <a:headEnd/>
                      <a:tailEnd/>
                    </a:ln>
                  </pic:spPr>
                </pic:pic>
              </a:graphicData>
            </a:graphic>
          </wp:anchor>
        </w:drawing>
      </w:r>
    </w:p>
    <w:p w:rsidR="00FB1B59" w:rsidRDefault="00FB1B59" w:rsidP="00C17FD4">
      <w:pPr>
        <w:pStyle w:val="Caption"/>
        <w:spacing w:before="0"/>
      </w:pPr>
      <w:r>
        <w:t xml:space="preserve">Figure </w:t>
      </w:r>
      <w:fldSimple w:instr=" SEQ Figure \* ARABIC ">
        <w:r>
          <w:rPr>
            <w:noProof/>
          </w:rPr>
          <w:t>2</w:t>
        </w:r>
      </w:fldSimple>
      <w:r>
        <w:t xml:space="preserve">. Servo block diagram for the </w:t>
      </w:r>
      <w:r w:rsidR="00A16CA3">
        <w:t>H2OAT</w:t>
      </w:r>
      <w:r>
        <w:t>. ESD: electro-static drive; VCO: voltage-controlled oscillator; AOM: acousto-optic modulator</w:t>
      </w:r>
    </w:p>
    <w:p w:rsidR="00FB1B59" w:rsidRDefault="00FB1B59" w:rsidP="00EE7DF8">
      <w:pPr>
        <w:pStyle w:val="Heading2"/>
      </w:pPr>
      <w:r>
        <w:t>Stray Light Control Baffles</w:t>
      </w:r>
    </w:p>
    <w:p w:rsidR="00FB1B59" w:rsidRDefault="00FB1B59" w:rsidP="00EE7DF8">
      <w:r>
        <w:t xml:space="preserve">From the AOS SLC subsystem, the arm cavity installation requires: 2 manifold/cryopump baffles; 2 arm cavity baffles. None of these of course are essential to locking the arm cavity and performing the integrated testing, but it is preferable to install these upfront. The ACBs are outfitted with photodiodes that will be used for initially locating and aligning the beam through the beamtube (video cameras could be used for this function if an ACB was not in place). For the </w:t>
      </w:r>
      <w:r w:rsidR="00A16CA3">
        <w:t>H2OAT</w:t>
      </w:r>
      <w:r>
        <w:t xml:space="preserve">, the ACB photodiodes will be read out using commercial, off-the-shelf wide-range transimpedance amplifiers. </w:t>
      </w:r>
    </w:p>
    <w:p w:rsidR="00FB1B59" w:rsidRDefault="00FB1B59" w:rsidP="009D4C15">
      <w:pPr>
        <w:pStyle w:val="Heading2"/>
      </w:pPr>
      <w:r>
        <w:t>Optical levers</w:t>
      </w:r>
    </w:p>
    <w:p w:rsidR="00FB1B59" w:rsidRDefault="00FB1B59" w:rsidP="009D4C15">
      <w:r>
        <w:t>Each test mass will be outfitted with an optical lever. The ETM will have a full Advanced LIGO optical lever. In the corner, however, the existing optical lever for the H1 ITMY needs to be maintained, and this precludes installation of the Advanced LIGO optical lever pier. The H2 ITMY will therefore use the initial LIGO optical lever pier, laser source and detector (electronics interfacing still TBD). This will give the opportunity to compare the performance of the new optical lever against the original.</w:t>
      </w:r>
    </w:p>
    <w:p w:rsidR="00FB1B59" w:rsidRDefault="00FB1B59" w:rsidP="0024057D">
      <w:pPr>
        <w:pStyle w:val="Heading2"/>
      </w:pPr>
      <w:r>
        <w:t>Thermal Compensation System</w:t>
      </w:r>
    </w:p>
    <w:p w:rsidR="00FB1B59" w:rsidRDefault="00FB1B59" w:rsidP="0024057D">
      <w:r>
        <w:t>TCS will supply two ring heaters, one for each test mass, which will be installed into the quad suspensions. TCS will also install the Hartmann sensor for the ETM, which makes use of the ALS 532 nm beam as a probe beam.</w:t>
      </w:r>
    </w:p>
    <w:p w:rsidR="00FB1B59" w:rsidRDefault="003E6054" w:rsidP="0024057D">
      <w:r>
        <w:t>In BSC8, the steering mirror assembly for the CO2 laser projector beam will be installed. N</w:t>
      </w:r>
      <w:r w:rsidR="00FB1B59">
        <w:t>one of the other TCS corner station</w:t>
      </w:r>
      <w:r>
        <w:t xml:space="preserve"> hardware – </w:t>
      </w:r>
      <w:r w:rsidR="00FB1B59">
        <w:t>CO2 laser projec</w:t>
      </w:r>
      <w:r>
        <w:t xml:space="preserve">tor or vertex Hartmann sensors – </w:t>
      </w:r>
      <w:r w:rsidR="00FB1B59">
        <w:t xml:space="preserve">will be installed for the </w:t>
      </w:r>
      <w:r w:rsidR="00A16CA3">
        <w:t>H2OAT</w:t>
      </w:r>
      <w:r w:rsidR="00FB1B59">
        <w:t xml:space="preserve">. </w:t>
      </w:r>
    </w:p>
    <w:p w:rsidR="00FB1B59" w:rsidRDefault="00FB1B59" w:rsidP="009947E9">
      <w:pPr>
        <w:pStyle w:val="Heading2"/>
      </w:pPr>
      <w:r>
        <w:t>Photon calibrator</w:t>
      </w:r>
    </w:p>
    <w:p w:rsidR="00FB1B59" w:rsidRPr="009947E9" w:rsidRDefault="00FB1B59" w:rsidP="009947E9">
      <w:r>
        <w:t xml:space="preserve">The photon calibrator (Pcal) design includes in-vacuum steering mirrors (end station chamber only) to direct the reflected Pcal beams out of the chamber for detection; these mirrors will be installed for this phase, pending their availability. No other Pcal hardware is intended to be installed for the </w:t>
      </w:r>
      <w:r w:rsidR="00A16CA3">
        <w:t>H2OAT</w:t>
      </w:r>
      <w:r>
        <w:t xml:space="preserve"> phase; in any case the system will not be nearly sensitive enough to measure an applied Pcal force.</w:t>
      </w:r>
    </w:p>
    <w:p w:rsidR="00FB1B59" w:rsidRDefault="00FB1B59" w:rsidP="00572341">
      <w:pPr>
        <w:pStyle w:val="Heading2"/>
      </w:pPr>
      <w:r>
        <w:t>PSL &amp; IO</w:t>
      </w:r>
    </w:p>
    <w:p w:rsidR="00FB1B59" w:rsidRDefault="00FB1B59" w:rsidP="00572341">
      <w:r>
        <w:t xml:space="preserve">There are no Input Optics components involved in the </w:t>
      </w:r>
      <w:r w:rsidR="00A16CA3">
        <w:t>H2OAT</w:t>
      </w:r>
      <w:r>
        <w:t xml:space="preserve"> phase. There are nominally also no PSL components involved, but there is an option to incorporate the PSL if it is installed within this testing timeframe. As mentioned above, </w:t>
      </w:r>
      <w:r w:rsidR="00B7542D">
        <w:t>the ALS laser will be phase-locked to an NPRO laser in the corner station optics lab that is stabilized to a reference cavity; a sample of this NPRO light is sent to the end station via one of the single-mode communications fibers that run between the stations.</w:t>
      </w:r>
      <w:r>
        <w:t xml:space="preserve"> But if the PSL is available, we </w:t>
      </w:r>
      <w:r w:rsidR="00E53049">
        <w:t>could test this phase-locking with the actual laser source.</w:t>
      </w:r>
    </w:p>
    <w:p w:rsidR="00FB1B59" w:rsidRDefault="00FB1B59" w:rsidP="00FA7144">
      <w:pPr>
        <w:pStyle w:val="Heading2"/>
      </w:pPr>
      <w:r>
        <w:t>DAQ</w:t>
      </w:r>
    </w:p>
    <w:p w:rsidR="00FB1B59" w:rsidRPr="00FA7144" w:rsidRDefault="00FB1B59" w:rsidP="00FA7144">
      <w:r>
        <w:t xml:space="preserve">The full H2 DAQ system is planned to be installed by the start of the </w:t>
      </w:r>
      <w:r w:rsidR="00A16CA3">
        <w:t>H2OAT</w:t>
      </w:r>
      <w:r>
        <w:t xml:space="preserve"> phase.</w:t>
      </w:r>
    </w:p>
    <w:p w:rsidR="00FB1B59" w:rsidRDefault="00A16CA3" w:rsidP="00624503">
      <w:pPr>
        <w:pStyle w:val="Heading1"/>
      </w:pPr>
      <w:bookmarkStart w:id="1" w:name="_Ref158710027"/>
      <w:r>
        <w:t>H2OAT</w:t>
      </w:r>
      <w:r w:rsidR="00FB1B59">
        <w:t xml:space="preserve"> Objectives</w:t>
      </w:r>
      <w:bookmarkEnd w:id="1"/>
    </w:p>
    <w:p w:rsidR="00FB1B59" w:rsidRDefault="00FB1B59" w:rsidP="00C5217F">
      <w:r>
        <w:t xml:space="preserve">As noted earlier, there are two main objectives of the </w:t>
      </w:r>
      <w:r w:rsidR="00A16CA3">
        <w:t>H2OAT</w:t>
      </w:r>
      <w:r>
        <w:t xml:space="preserve"> integration phase:</w:t>
      </w:r>
    </w:p>
    <w:p w:rsidR="00FB1B59" w:rsidRDefault="00FB1B59" w:rsidP="00921521">
      <w:pPr>
        <w:pStyle w:val="ListParagraph"/>
        <w:numPr>
          <w:ilvl w:val="0"/>
          <w:numId w:val="34"/>
        </w:numPr>
      </w:pPr>
      <w:r>
        <w:t>Attaining and verifying the performance of the ALS arm cavity locking, at the level required to support full interferometer lock acquisition.</w:t>
      </w:r>
    </w:p>
    <w:p w:rsidR="00FB1B59" w:rsidRDefault="00FB1B59" w:rsidP="0028489B">
      <w:pPr>
        <w:pStyle w:val="ListParagraph"/>
        <w:numPr>
          <w:ilvl w:val="0"/>
          <w:numId w:val="34"/>
        </w:numPr>
      </w:pPr>
      <w:r>
        <w:t>Investigation of the low-frequency (&lt; 1 Hz) performance of the seismic isolation and suspension subsystems.</w:t>
      </w:r>
    </w:p>
    <w:p w:rsidR="00FB1B59" w:rsidRDefault="00FB1B59" w:rsidP="0028489B">
      <w:r>
        <w:t>These objectives, as well as various secondary objectives, are further discussed below. First we present noise estimates for the arm cavity.</w:t>
      </w:r>
    </w:p>
    <w:p w:rsidR="00FB1B59" w:rsidRDefault="00FB1B59" w:rsidP="00E81009">
      <w:pPr>
        <w:pStyle w:val="Heading2"/>
      </w:pPr>
      <w:r>
        <w:t>Noise Estimates</w:t>
      </w:r>
    </w:p>
    <w:p w:rsidR="00FB1B59" w:rsidRDefault="00FB1B59" w:rsidP="00E81009">
      <w:r>
        <w:t xml:space="preserve">The </w:t>
      </w:r>
      <w:r w:rsidR="00A16CA3">
        <w:t>H2OAT</w:t>
      </w:r>
      <w:r>
        <w:t xml:space="preserve"> integration phase will not provide any kind of sensitive test-bed for the in-band noise performance of the suspensions and seismic isolation. Above ~1 Hz, the arm cavity sensing will be limited by frequency noise of the ALS laser (even when </w:t>
      </w:r>
      <w:r w:rsidR="00C64AD9">
        <w:t>phase-locked</w:t>
      </w:r>
      <w:r>
        <w:t xml:space="preserve"> to the </w:t>
      </w:r>
      <w:r w:rsidR="00C64AD9">
        <w:t>corner station stabilized NPRO</w:t>
      </w:r>
      <w:r>
        <w:t xml:space="preserve">), at a level many orders of magnitude above the expected displacement noise of the test masses. </w:t>
      </w:r>
      <w:fldSimple w:instr=" REF _Ref158363447 ">
        <w:r w:rsidRPr="00921521">
          <w:t xml:space="preserve">Figure </w:t>
        </w:r>
        <w:r w:rsidRPr="00921521">
          <w:rPr>
            <w:noProof/>
          </w:rPr>
          <w:t>3</w:t>
        </w:r>
      </w:fldSimple>
      <w:r w:rsidR="00921521">
        <w:t xml:space="preserve"> </w:t>
      </w:r>
      <w:r>
        <w:t xml:space="preserve">shows an estimate of the noise performance of </w:t>
      </w:r>
      <w:r w:rsidR="00A16CA3">
        <w:t>H2OAT</w:t>
      </w:r>
      <w:r>
        <w:t xml:space="preserve"> setup.</w:t>
      </w:r>
    </w:p>
    <w:p w:rsidR="00FB1B59" w:rsidRDefault="001D4BB8" w:rsidP="00307668">
      <w:pPr>
        <w:keepNext/>
      </w:pPr>
      <w:r>
        <w:rPr>
          <w:noProof/>
        </w:rPr>
        <w:drawing>
          <wp:inline distT="0" distB="0" distL="0" distR="0">
            <wp:extent cx="5994400" cy="4572000"/>
            <wp:effectExtent l="2540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994400" cy="4572000"/>
                    </a:xfrm>
                    <a:prstGeom prst="rect">
                      <a:avLst/>
                    </a:prstGeom>
                    <a:noFill/>
                    <a:ln w="9525">
                      <a:noFill/>
                      <a:miter lim="800000"/>
                      <a:headEnd/>
                      <a:tailEnd/>
                    </a:ln>
                  </pic:spPr>
                </pic:pic>
              </a:graphicData>
            </a:graphic>
          </wp:inline>
        </w:drawing>
      </w:r>
    </w:p>
    <w:p w:rsidR="00FB1B59" w:rsidRPr="00511FD4" w:rsidRDefault="00FB1B59" w:rsidP="00307668">
      <w:pPr>
        <w:pStyle w:val="Caption"/>
        <w:rPr>
          <w:b w:val="0"/>
          <w:sz w:val="22"/>
        </w:rPr>
      </w:pPr>
      <w:bookmarkStart w:id="2" w:name="_Ref158363447"/>
      <w:r w:rsidRPr="00511FD4">
        <w:rPr>
          <w:sz w:val="22"/>
        </w:rPr>
        <w:t xml:space="preserve">Figure </w:t>
      </w:r>
      <w:r w:rsidRPr="00511FD4">
        <w:rPr>
          <w:sz w:val="22"/>
        </w:rPr>
        <w:fldChar w:fldCharType="begin"/>
      </w:r>
      <w:r w:rsidRPr="00511FD4">
        <w:rPr>
          <w:sz w:val="22"/>
        </w:rPr>
        <w:instrText xml:space="preserve"> SEQ Figure \* ARABIC </w:instrText>
      </w:r>
      <w:r w:rsidRPr="00511FD4">
        <w:rPr>
          <w:sz w:val="22"/>
        </w:rPr>
        <w:fldChar w:fldCharType="separate"/>
      </w:r>
      <w:r>
        <w:rPr>
          <w:noProof/>
          <w:sz w:val="22"/>
        </w:rPr>
        <w:t>3</w:t>
      </w:r>
      <w:r w:rsidRPr="00511FD4">
        <w:rPr>
          <w:sz w:val="22"/>
        </w:rPr>
        <w:fldChar w:fldCharType="end"/>
      </w:r>
      <w:bookmarkEnd w:id="2"/>
      <w:r w:rsidRPr="00511FD4">
        <w:rPr>
          <w:sz w:val="22"/>
        </w:rPr>
        <w:t xml:space="preserve">. </w:t>
      </w:r>
      <w:r w:rsidRPr="00511FD4">
        <w:rPr>
          <w:b w:val="0"/>
          <w:sz w:val="22"/>
        </w:rPr>
        <w:t xml:space="preserve">Estimate of equivalent arm cavity length noise for the </w:t>
      </w:r>
      <w:r w:rsidR="00A16CA3">
        <w:rPr>
          <w:b w:val="0"/>
          <w:sz w:val="22"/>
        </w:rPr>
        <w:t>H2OAT</w:t>
      </w:r>
      <w:r w:rsidRPr="00511FD4">
        <w:rPr>
          <w:b w:val="0"/>
          <w:sz w:val="22"/>
        </w:rPr>
        <w:t>. With a free-running NPRO (Prometheus), laser frequency noise would dominate over the whole frequency band (blue curve). When the laser is stabilized to a reference cavity, we expect to measure test mass motion below about 0.5 Hz. This models the stabilized frequency noise as reaching 100 Hz/Hz</w:t>
      </w:r>
      <w:r w:rsidRPr="00511FD4">
        <w:rPr>
          <w:b w:val="0"/>
          <w:sz w:val="22"/>
          <w:vertAlign w:val="superscript"/>
        </w:rPr>
        <w:t>1/2</w:t>
      </w:r>
      <w:r w:rsidRPr="00511FD4">
        <w:rPr>
          <w:b w:val="0"/>
          <w:sz w:val="22"/>
        </w:rPr>
        <w:t xml:space="preserve"> over the band shown (1/</w:t>
      </w:r>
      <w:r w:rsidRPr="00511FD4">
        <w:rPr>
          <w:b w:val="0"/>
          <w:i/>
          <w:sz w:val="22"/>
        </w:rPr>
        <w:t>f</w:t>
      </w:r>
      <w:r w:rsidRPr="00511FD4">
        <w:rPr>
          <w:b w:val="0"/>
          <w:sz w:val="22"/>
        </w:rPr>
        <w:t xml:space="preserve"> knee at 0.01 Hz).</w:t>
      </w:r>
      <w:r w:rsidR="00E6764A">
        <w:rPr>
          <w:b w:val="0"/>
          <w:sz w:val="22"/>
        </w:rPr>
        <w:t xml:space="preserve"> Experience suggests that the frequency noise could be up to 10x lower than this, in which case the H2OAT would be dominated by frequency noise above about 0.8 Hz.</w:t>
      </w:r>
    </w:p>
    <w:p w:rsidR="00FB1B59" w:rsidRDefault="00FB1B59" w:rsidP="009F0CF5">
      <w:pPr>
        <w:pStyle w:val="Heading2"/>
      </w:pPr>
      <w:r>
        <w:t>ALS test objectives</w:t>
      </w:r>
    </w:p>
    <w:p w:rsidR="00FB1B59" w:rsidRDefault="00FB1B59" w:rsidP="009F0CF5">
      <w:r>
        <w:t>The full ALS system has four main control loops:</w:t>
      </w:r>
    </w:p>
    <w:p w:rsidR="00FB1B59" w:rsidRDefault="00FB1B59" w:rsidP="00A0226B">
      <w:pPr>
        <w:pStyle w:val="ListParagraph"/>
        <w:numPr>
          <w:ilvl w:val="0"/>
          <w:numId w:val="30"/>
        </w:numPr>
        <w:spacing w:after="120"/>
      </w:pPr>
      <w:r>
        <w:t>Lock of ALS laser 532 nm beam to Arm Cavity (at each end)</w:t>
      </w:r>
    </w:p>
    <w:p w:rsidR="00FB1B59" w:rsidRDefault="00FB1B59" w:rsidP="00A0226B">
      <w:pPr>
        <w:pStyle w:val="ListParagraph"/>
        <w:numPr>
          <w:ilvl w:val="0"/>
          <w:numId w:val="30"/>
        </w:numPr>
        <w:spacing w:after="120"/>
      </w:pPr>
      <w:r>
        <w:t>Phase/frequency lock of ALS laser to PSL light (at each end)</w:t>
      </w:r>
    </w:p>
    <w:p w:rsidR="00FB1B59" w:rsidRDefault="00FB1B59" w:rsidP="00A0226B">
      <w:pPr>
        <w:pStyle w:val="ListParagraph"/>
        <w:numPr>
          <w:ilvl w:val="0"/>
          <w:numId w:val="30"/>
        </w:numPr>
        <w:spacing w:after="120"/>
      </w:pPr>
      <w:r>
        <w:t>Arm differential mode suppression: feedback to the arm cavity length differential mode, based on vertex heterodyning of X- and Y-arm ALS beams</w:t>
      </w:r>
    </w:p>
    <w:p w:rsidR="00FB1B59" w:rsidRDefault="00FB1B59" w:rsidP="00A0226B">
      <w:pPr>
        <w:pStyle w:val="ListParagraph"/>
        <w:numPr>
          <w:ilvl w:val="0"/>
          <w:numId w:val="30"/>
        </w:numPr>
        <w:spacing w:after="120"/>
      </w:pPr>
      <w:r>
        <w:t>Common mode feedback: feedback to the PSL frequency via the common mode servo, based on vertex heterodyning of X-arm (or Y) and PSL beams</w:t>
      </w:r>
    </w:p>
    <w:p w:rsidR="00FB1B59" w:rsidRDefault="00FB1B59" w:rsidP="00A0226B">
      <w:pPr>
        <w:spacing w:after="120"/>
      </w:pPr>
      <w:r>
        <w:t xml:space="preserve">The </w:t>
      </w:r>
      <w:r w:rsidR="00A16CA3">
        <w:t>H2OAT</w:t>
      </w:r>
      <w:r>
        <w:t xml:space="preserve"> will fully test #1; #2 </w:t>
      </w:r>
      <w:r w:rsidR="00C64AD9">
        <w:t>will be tested with a stand-in for the PSL, and potentially with the actual PSL</w:t>
      </w:r>
      <w:r>
        <w:t>; #3 will be tested in a fashion by off-loading the low frequency end of the arm cavity lock from the ALS laser to the arm cavity length (via the quad suspension actuators); #4 will not be tested in this phase.</w:t>
      </w:r>
    </w:p>
    <w:p w:rsidR="00FB1B59" w:rsidRDefault="00FB1B59" w:rsidP="00A0226B">
      <w:pPr>
        <w:spacing w:after="120"/>
      </w:pPr>
      <w:r>
        <w:t>Again the main objective with the ALS at this stage is to achieve reliable and robust locking of the arm cavity, and to implement the feedback to the arm length that serves to actually reduce the arm length fluctuations. Here are some specific design issues that the testing should inform:</w:t>
      </w:r>
    </w:p>
    <w:p w:rsidR="00FB1B59" w:rsidRDefault="00FB1B59" w:rsidP="00094826">
      <w:pPr>
        <w:pStyle w:val="ListParagraph"/>
        <w:numPr>
          <w:ilvl w:val="0"/>
          <w:numId w:val="32"/>
        </w:numPr>
        <w:spacing w:before="100" w:after="100"/>
      </w:pPr>
      <w:r>
        <w:t>Is the commercial ALS laser (Innolight Prometheus) adequate? Is the amount of 532 nm power (50 mW) sufficient?</w:t>
      </w:r>
    </w:p>
    <w:p w:rsidR="00FB1B59" w:rsidRDefault="00FB1B59" w:rsidP="00094826">
      <w:pPr>
        <w:pStyle w:val="ListParagraph"/>
        <w:numPr>
          <w:ilvl w:val="0"/>
          <w:numId w:val="32"/>
        </w:numPr>
        <w:spacing w:before="100" w:after="100"/>
      </w:pPr>
      <w:r>
        <w:t>Will we need active stabilization of the 532 nm beam pointing into the TransMon? If so, what servo bandwidth and actuation range?</w:t>
      </w:r>
    </w:p>
    <w:p w:rsidR="00FB1B59" w:rsidRDefault="00FB1B59" w:rsidP="00094826">
      <w:pPr>
        <w:pStyle w:val="ListParagraph"/>
        <w:numPr>
          <w:ilvl w:val="0"/>
          <w:numId w:val="32"/>
        </w:numPr>
        <w:spacing w:before="100" w:after="100"/>
      </w:pPr>
      <w:r>
        <w:t xml:space="preserve">If active pointing stabilization is needed, which sensors are to be used – the quad detectors on the TransMon or the RF wavefront sensors on the ALS table? </w:t>
      </w:r>
    </w:p>
    <w:p w:rsidR="00FB1B59" w:rsidRDefault="00FB1B59" w:rsidP="00094826">
      <w:pPr>
        <w:pStyle w:val="ListParagraph"/>
        <w:numPr>
          <w:ilvl w:val="0"/>
          <w:numId w:val="32"/>
        </w:numPr>
        <w:spacing w:before="100" w:after="100"/>
      </w:pPr>
      <w:r>
        <w:t>Will we want to outfit all ALS end station setups with RF wavefront sensors for the 532 nm beam (other than as driven by the preceding bullet) ?</w:t>
      </w:r>
    </w:p>
    <w:p w:rsidR="00FB1B59" w:rsidRDefault="00FB1B59" w:rsidP="004B31E3">
      <w:pPr>
        <w:spacing w:before="100" w:after="100"/>
      </w:pPr>
      <w:r>
        <w:t>Note that the ALS design assumes that stabilizing the arm length with the green light will also stabilize the arm length as seen by the PSL infrared light, at least to the sub-nanometer level.</w:t>
      </w:r>
      <w:r w:rsidR="00C64AD9">
        <w:t xml:space="preserve"> Since both test masses in the H2OAT will have the ITM-type coating, this could be tested by injecting the Prometheus 1064 nm</w:t>
      </w:r>
      <w:r>
        <w:t xml:space="preserve"> beam into the cavity from the end. </w:t>
      </w:r>
      <w:r w:rsidR="004D653E">
        <w:t>This green-infrared cavity comparison is currently being studied at the Caltech 40m lab. The priority testing this in the H2OAT will depend on the results of the 40m investigations.</w:t>
      </w:r>
    </w:p>
    <w:p w:rsidR="00FB1B59" w:rsidRDefault="00FB1B59" w:rsidP="00375B7C">
      <w:pPr>
        <w:pStyle w:val="Heading2"/>
      </w:pPr>
      <w:r>
        <w:t>Seismic isolation performance</w:t>
      </w:r>
    </w:p>
    <w:p w:rsidR="00FB1B59" w:rsidRDefault="00FB1B59" w:rsidP="00375B7C">
      <w:r>
        <w:t xml:space="preserve">As </w:t>
      </w:r>
      <w:fldSimple w:instr=" REF _Ref158363447 \h ">
        <w:r w:rsidRPr="00921521">
          <w:t>Figur</w:t>
        </w:r>
        <w:r w:rsidRPr="00921521">
          <w:t>e</w:t>
        </w:r>
        <w:r w:rsidRPr="00921521">
          <w:t xml:space="preserve"> </w:t>
        </w:r>
        <w:r w:rsidRPr="00921521">
          <w:rPr>
            <w:noProof/>
          </w:rPr>
          <w:t>3</w:t>
        </w:r>
      </w:fldSimple>
      <w:r>
        <w:t xml:space="preserve"> shows, below about 1 Hz the arm cavity measurement will show length noise of the cavity due to test mass displacement noise. Thus the </w:t>
      </w:r>
      <w:r w:rsidR="00A16CA3">
        <w:t>H2OAT</w:t>
      </w:r>
      <w:r>
        <w:t xml:space="preserve"> will tell us about the actual relative displacement of the two BSC ISI platforms, which is especially of interest below ~0.1 Hz where the prototype testing done to date can be confused by tilts. </w:t>
      </w:r>
    </w:p>
    <w:p w:rsidR="00FB1B59" w:rsidRDefault="00FB1B59" w:rsidP="00375B7C">
      <w:r>
        <w:t>Along with the length noise, we will characterize the angular fluctuations of the test masses, and compare to model predictions. These measurements will be made with some combination of the optical levers and the RF wavefront sensors.</w:t>
      </w:r>
    </w:p>
    <w:p w:rsidR="00FB1B59" w:rsidRDefault="00FB1B59" w:rsidP="00F61DC4">
      <w:pPr>
        <w:pStyle w:val="Heading3"/>
      </w:pPr>
      <w:r>
        <w:t>ISI controls implementation</w:t>
      </w:r>
    </w:p>
    <w:p w:rsidR="00FB1B59" w:rsidRDefault="00FB1B59" w:rsidP="00F61DC4">
      <w:r>
        <w:t>The ISI controls will first be implemented in a basic, relatively low-performance configuration (‘Level 1’ in the SEI controls hierarchy</w:t>
      </w:r>
      <w:r>
        <w:rPr>
          <w:rStyle w:val="FootnoteReference"/>
        </w:rPr>
        <w:footnoteReference w:id="2"/>
      </w:r>
      <w:r>
        <w:t xml:space="preserve">). This is expected to be sufficient to get started with the arm cavity locking and testing. Then, periodically over the </w:t>
      </w:r>
      <w:r w:rsidR="00A16CA3">
        <w:t xml:space="preserve">H2OAT </w:t>
      </w:r>
      <w:r>
        <w:t xml:space="preserve">phase, time will be allotted to the SEI team to do further ISI system identification and controls tuning (with the goal of achieving Levels 2 and 3 of performance). </w:t>
      </w:r>
    </w:p>
    <w:p w:rsidR="00FB1B59" w:rsidRDefault="00FB1B59" w:rsidP="00294B28">
      <w:pPr>
        <w:pStyle w:val="Heading3"/>
      </w:pPr>
      <w:r>
        <w:t>Adaptive feed-forward control</w:t>
      </w:r>
    </w:p>
    <w:p w:rsidR="00FB1B59" w:rsidRDefault="00FB1B59" w:rsidP="00294B28">
      <w:r>
        <w:t xml:space="preserve">The </w:t>
      </w:r>
      <w:r w:rsidR="00A16CA3">
        <w:t>H2OAT</w:t>
      </w:r>
      <w:r>
        <w:t xml:space="preserve"> gives an opportunity to investigate the use of adaptive feed-forward control of the arm cavity length, using seismometer signals to predict and ultimately to reduce the low-frequency fluctuations of the arm cavity length. At this phase the investigation may be limited to computer simulations of the predictive algorithm, using data that is collected during the </w:t>
      </w:r>
      <w:r w:rsidR="00A16CA3">
        <w:t>H2OAT</w:t>
      </w:r>
      <w:r>
        <w:t>.</w:t>
      </w:r>
    </w:p>
    <w:p w:rsidR="00FB1B59" w:rsidRDefault="00FB1B59" w:rsidP="003A1B82">
      <w:pPr>
        <w:pStyle w:val="Heading2"/>
      </w:pPr>
      <w:r>
        <w:t>Suspension performance</w:t>
      </w:r>
    </w:p>
    <w:p w:rsidR="00FB1B59" w:rsidRDefault="00FB1B59" w:rsidP="003A1B82">
      <w:r>
        <w:t xml:space="preserve">The basic functionality of the quad suspensions will have been tested before the </w:t>
      </w:r>
      <w:r w:rsidR="00A16CA3">
        <w:t>H2OAT</w:t>
      </w:r>
      <w:r>
        <w:t>: proper connection and operation of all local sensors; proper connection of all actuator channels; damping; static alignment control. Some aspects, however, require the arm cavity:</w:t>
      </w:r>
    </w:p>
    <w:p w:rsidR="00FB1B59" w:rsidRDefault="00FB1B59" w:rsidP="003A1B82">
      <w:r>
        <w:rPr>
          <w:i/>
        </w:rPr>
        <w:t>Actuation:</w:t>
      </w:r>
      <w:r w:rsidR="00921521">
        <w:rPr>
          <w:i/>
        </w:rPr>
        <w:t xml:space="preserve"> </w:t>
      </w:r>
      <w:r>
        <w:t>Test and verification of the actuation coefficients for the electro-static drive on the test mass, the penultimate-mass (PM) stage drive, and the upper intermediate-mass (UIM) stage drive. Balancing of the drive channels at each stage to minimize (length-to-angle) cross-coupling. Note that the low-frequency feedback (below ~10 Hz) to the ETMY quad suspension in the arm cavity lock will be split between the TM and PM stages.</w:t>
      </w:r>
    </w:p>
    <w:p w:rsidR="00FB1B59" w:rsidRDefault="00FB1B59" w:rsidP="003A1B82">
      <w:r>
        <w:rPr>
          <w:i/>
        </w:rPr>
        <w:t>Damping:</w:t>
      </w:r>
      <w:r>
        <w:t xml:space="preserve"> Investigation of the dependence of the rms motion of the test mass (longitudinal, pitch and yaw) on the damping filter design and damping gain. The goal is to minimize the rms motion of the test mass with respect to the damping filters.</w:t>
      </w:r>
    </w:p>
    <w:p w:rsidR="00FB1B59" w:rsidRDefault="00FB1B59" w:rsidP="00EE2253">
      <w:pPr>
        <w:pStyle w:val="Heading2"/>
      </w:pPr>
      <w:r>
        <w:t>Test Mass Qs</w:t>
      </w:r>
    </w:p>
    <w:p w:rsidR="00FB1B59" w:rsidRDefault="00FB1B59" w:rsidP="00EC37C6">
      <w:r>
        <w:t xml:space="preserve">Some time can potentially be devoted to measuring Qs of acoustic modes of the test masses. Such data would verify the proper mechanical fabrication and assembly of the test mass, and is useful for checking and refining predictions regarding parametric instabilities. Similarly, data on suspension fiber violin mode Qs would be interesting to obtain. However, it may be very difficult or even not possible to make these measurements given the frequency-noise limited sensitivity. For comparison, both TM and violin mode Qs were measured on the LASTI suspension, but the displacement sensitivity of that cavity was about 100 times better than expected for the </w:t>
      </w:r>
      <w:r w:rsidR="00A16CA3">
        <w:t>H2OAT</w:t>
      </w:r>
      <w:r>
        <w:t>.</w:t>
      </w:r>
    </w:p>
    <w:p w:rsidR="00FB1B59" w:rsidRDefault="00FB1B59" w:rsidP="004E36C1">
      <w:pPr>
        <w:pStyle w:val="Heading2"/>
      </w:pPr>
      <w:r>
        <w:t>Ring heater testing</w:t>
      </w:r>
    </w:p>
    <w:p w:rsidR="00FB1B59" w:rsidRDefault="00FB1B59" w:rsidP="004E36C1">
      <w:r>
        <w:t>Test mass ring heaters should be powered on to test for any problematic interaction with the suspension. On ETMY, the distortion produced by the ring heater can be measured with the ETMY Hartmann sensor.</w:t>
      </w:r>
    </w:p>
    <w:p w:rsidR="00FB1B59" w:rsidRDefault="00FB1B59" w:rsidP="00880A7A">
      <w:pPr>
        <w:pStyle w:val="Heading2"/>
      </w:pPr>
      <w:r>
        <w:t>Scattered light measurements</w:t>
      </w:r>
    </w:p>
    <w:p w:rsidR="00FB1B59" w:rsidRDefault="00FB1B59" w:rsidP="00880A7A">
      <w:r>
        <w:t>Light scattered from the test masses can be measured using the photodiodes mounted in the Arm Cavity Baffles, and using the video cameras that monitor the test mass HR faces. Such data, if calibrated, can be compared against metrology data for estimates of optical loss and scattered light.</w:t>
      </w:r>
    </w:p>
    <w:p w:rsidR="00FB1B59" w:rsidRDefault="00FB1B59" w:rsidP="003933A0">
      <w:pPr>
        <w:pStyle w:val="Heading2"/>
      </w:pPr>
      <w:r>
        <w:t>Optical levers</w:t>
      </w:r>
    </w:p>
    <w:p w:rsidR="00FB1B59" w:rsidRDefault="00FB1B59" w:rsidP="003933A0">
      <w:r>
        <w:t>Optical lever data can be analyzed to evaluate their stability. Given the hybrid installation, the performance of the new Advanced LIGO piers and light sources (on ETMY) can be compared to the initial LIGO versions (on ITMY).</w:t>
      </w:r>
    </w:p>
    <w:p w:rsidR="00FB1B59" w:rsidRDefault="00FB1B59">
      <w:pPr>
        <w:spacing w:before="0"/>
        <w:jc w:val="left"/>
        <w:rPr>
          <w:rFonts w:ascii="Arial" w:hAnsi="Arial"/>
          <w:b/>
          <w:kern w:val="28"/>
          <w:sz w:val="28"/>
        </w:rPr>
      </w:pPr>
      <w:r>
        <w:br w:type="page"/>
      </w:r>
    </w:p>
    <w:p w:rsidR="00FB1B59" w:rsidRDefault="00FB1B59" w:rsidP="00624503">
      <w:pPr>
        <w:pStyle w:val="Heading1"/>
      </w:pPr>
      <w:r>
        <w:t>Prioritization of objectives</w:t>
      </w:r>
    </w:p>
    <w:tbl>
      <w:tblPr>
        <w:tblW w:w="0" w:type="auto"/>
        <w:tblBorders>
          <w:top w:val="single" w:sz="4" w:space="0" w:color="000000"/>
          <w:bottom w:val="single" w:sz="4" w:space="0" w:color="000000"/>
        </w:tblBorders>
        <w:tblLook w:val="00BF"/>
      </w:tblPr>
      <w:tblGrid>
        <w:gridCol w:w="738"/>
        <w:gridCol w:w="5580"/>
        <w:gridCol w:w="3488"/>
      </w:tblGrid>
      <w:tr w:rsidR="00FB1B59" w:rsidRPr="001F51D6">
        <w:tc>
          <w:tcPr>
            <w:tcW w:w="738" w:type="dxa"/>
            <w:tcBorders>
              <w:top w:val="single" w:sz="12" w:space="0" w:color="000000"/>
              <w:bottom w:val="single" w:sz="12" w:space="0" w:color="auto"/>
            </w:tcBorders>
          </w:tcPr>
          <w:p w:rsidR="00FB1B59" w:rsidRPr="007019C4" w:rsidRDefault="00FB1B59" w:rsidP="00CF09C5">
            <w:pPr>
              <w:rPr>
                <w:b/>
              </w:rPr>
            </w:pPr>
          </w:p>
        </w:tc>
        <w:tc>
          <w:tcPr>
            <w:tcW w:w="5580" w:type="dxa"/>
            <w:tcBorders>
              <w:top w:val="single" w:sz="12" w:space="0" w:color="000000"/>
              <w:bottom w:val="single" w:sz="12" w:space="0" w:color="auto"/>
            </w:tcBorders>
          </w:tcPr>
          <w:p w:rsidR="00FB1B59" w:rsidRPr="007019C4" w:rsidRDefault="00FB1B59" w:rsidP="007019C4">
            <w:pPr>
              <w:spacing w:after="40"/>
              <w:jc w:val="center"/>
              <w:rPr>
                <w:b/>
              </w:rPr>
            </w:pPr>
            <w:r w:rsidRPr="007019C4">
              <w:rPr>
                <w:b/>
              </w:rPr>
              <w:t>Objective</w:t>
            </w:r>
          </w:p>
        </w:tc>
        <w:tc>
          <w:tcPr>
            <w:tcW w:w="3488" w:type="dxa"/>
            <w:tcBorders>
              <w:top w:val="single" w:sz="12" w:space="0" w:color="000000"/>
              <w:bottom w:val="single" w:sz="12" w:space="0" w:color="auto"/>
            </w:tcBorders>
          </w:tcPr>
          <w:p w:rsidR="00FB1B59" w:rsidRPr="007019C4" w:rsidRDefault="00FB1B59" w:rsidP="007019C4">
            <w:pPr>
              <w:spacing w:after="40"/>
              <w:jc w:val="center"/>
              <w:rPr>
                <w:b/>
              </w:rPr>
            </w:pPr>
            <w:r w:rsidRPr="007019C4">
              <w:rPr>
                <w:b/>
              </w:rPr>
              <w:t>Duration</w:t>
            </w:r>
          </w:p>
        </w:tc>
      </w:tr>
      <w:tr w:rsidR="00FB1B59">
        <w:tc>
          <w:tcPr>
            <w:tcW w:w="6318" w:type="dxa"/>
            <w:gridSpan w:val="2"/>
            <w:tcBorders>
              <w:top w:val="single" w:sz="12" w:space="0" w:color="auto"/>
            </w:tcBorders>
          </w:tcPr>
          <w:p w:rsidR="00FB1B59" w:rsidRPr="007019C4" w:rsidRDefault="00FB1B59" w:rsidP="007019C4">
            <w:pPr>
              <w:spacing w:before="100" w:after="40"/>
              <w:rPr>
                <w:i/>
              </w:rPr>
            </w:pPr>
            <w:r w:rsidRPr="007019C4">
              <w:rPr>
                <w:i/>
              </w:rPr>
              <w:t>Top priority</w:t>
            </w:r>
          </w:p>
        </w:tc>
        <w:tc>
          <w:tcPr>
            <w:tcW w:w="3488" w:type="dxa"/>
            <w:tcBorders>
              <w:top w:val="single" w:sz="12" w:space="0" w:color="auto"/>
            </w:tcBorders>
          </w:tcPr>
          <w:p w:rsidR="00FB1B59" w:rsidRDefault="00FB1B59" w:rsidP="007019C4">
            <w:pPr>
              <w:spacing w:before="100" w:after="40"/>
              <w:jc w:val="center"/>
            </w:pPr>
          </w:p>
        </w:tc>
      </w:tr>
      <w:tr w:rsidR="00FB1B59">
        <w:tc>
          <w:tcPr>
            <w:tcW w:w="738" w:type="dxa"/>
          </w:tcPr>
          <w:p w:rsidR="00FB1B59" w:rsidRDefault="00FB1B59" w:rsidP="00CF09C5"/>
        </w:tc>
        <w:tc>
          <w:tcPr>
            <w:tcW w:w="5580" w:type="dxa"/>
          </w:tcPr>
          <w:p w:rsidR="00FB1B59" w:rsidRDefault="00FB1B59" w:rsidP="007019C4">
            <w:pPr>
              <w:spacing w:before="100" w:after="40"/>
            </w:pPr>
            <w:r>
              <w:t>Arm cavity locking w/ ALS</w:t>
            </w:r>
          </w:p>
        </w:tc>
        <w:tc>
          <w:tcPr>
            <w:tcW w:w="3488" w:type="dxa"/>
          </w:tcPr>
          <w:p w:rsidR="00FB1B59" w:rsidRDefault="00FB1B59" w:rsidP="007019C4">
            <w:pPr>
              <w:spacing w:before="100" w:after="40"/>
              <w:jc w:val="center"/>
            </w:pPr>
            <w:r>
              <w:t>Throughout test phase</w:t>
            </w:r>
          </w:p>
        </w:tc>
      </w:tr>
      <w:tr w:rsidR="00FB1B59">
        <w:tc>
          <w:tcPr>
            <w:tcW w:w="738" w:type="dxa"/>
          </w:tcPr>
          <w:p w:rsidR="00FB1B59" w:rsidRDefault="00FB1B59" w:rsidP="00CF09C5"/>
        </w:tc>
        <w:tc>
          <w:tcPr>
            <w:tcW w:w="5580" w:type="dxa"/>
          </w:tcPr>
          <w:p w:rsidR="00FB1B59" w:rsidRDefault="00FB1B59" w:rsidP="007019C4">
            <w:pPr>
              <w:spacing w:before="100" w:after="40"/>
            </w:pPr>
            <w:r>
              <w:t>Alignment stability / active stabilization</w:t>
            </w:r>
          </w:p>
        </w:tc>
        <w:tc>
          <w:tcPr>
            <w:tcW w:w="3488" w:type="dxa"/>
          </w:tcPr>
          <w:p w:rsidR="00FB1B59" w:rsidRDefault="00FB1B59" w:rsidP="007019C4">
            <w:pPr>
              <w:spacing w:before="100" w:after="40"/>
              <w:jc w:val="center"/>
            </w:pPr>
            <w:r>
              <w:t>Throughout test phase</w:t>
            </w:r>
          </w:p>
        </w:tc>
      </w:tr>
      <w:tr w:rsidR="00FB1B59">
        <w:tc>
          <w:tcPr>
            <w:tcW w:w="738" w:type="dxa"/>
          </w:tcPr>
          <w:p w:rsidR="00FB1B59" w:rsidRDefault="00FB1B59" w:rsidP="00CF09C5"/>
        </w:tc>
        <w:tc>
          <w:tcPr>
            <w:tcW w:w="5580" w:type="dxa"/>
          </w:tcPr>
          <w:p w:rsidR="00FB1B59" w:rsidRDefault="00FB1B59" w:rsidP="007019C4">
            <w:pPr>
              <w:spacing w:before="100" w:after="40"/>
            </w:pPr>
            <w:r>
              <w:t>Low-frequency seismic isolation</w:t>
            </w:r>
          </w:p>
        </w:tc>
        <w:tc>
          <w:tcPr>
            <w:tcW w:w="3488" w:type="dxa"/>
          </w:tcPr>
          <w:p w:rsidR="00FB1B59" w:rsidRDefault="00FB1B59" w:rsidP="007019C4">
            <w:pPr>
              <w:spacing w:before="100" w:after="40"/>
              <w:jc w:val="center"/>
            </w:pPr>
            <w:r>
              <w:t>Throughout test phase</w:t>
            </w:r>
          </w:p>
        </w:tc>
      </w:tr>
      <w:tr w:rsidR="00FB1B59">
        <w:tc>
          <w:tcPr>
            <w:tcW w:w="738" w:type="dxa"/>
          </w:tcPr>
          <w:p w:rsidR="00FB1B59" w:rsidRDefault="00FB1B59" w:rsidP="00CF09C5"/>
        </w:tc>
        <w:tc>
          <w:tcPr>
            <w:tcW w:w="5580" w:type="dxa"/>
          </w:tcPr>
          <w:p w:rsidR="00FB1B59" w:rsidRDefault="00FB1B59" w:rsidP="007019C4">
            <w:pPr>
              <w:spacing w:before="100" w:after="40"/>
            </w:pPr>
          </w:p>
        </w:tc>
        <w:tc>
          <w:tcPr>
            <w:tcW w:w="3488" w:type="dxa"/>
          </w:tcPr>
          <w:p w:rsidR="00FB1B59" w:rsidRDefault="00FB1B59" w:rsidP="007019C4">
            <w:pPr>
              <w:spacing w:before="100" w:after="40"/>
              <w:jc w:val="center"/>
            </w:pPr>
          </w:p>
        </w:tc>
      </w:tr>
      <w:tr w:rsidR="00FB1B59">
        <w:tc>
          <w:tcPr>
            <w:tcW w:w="6318" w:type="dxa"/>
            <w:gridSpan w:val="2"/>
          </w:tcPr>
          <w:p w:rsidR="00FB1B59" w:rsidRPr="007019C4" w:rsidRDefault="00FB1B59" w:rsidP="007019C4">
            <w:pPr>
              <w:spacing w:before="100" w:after="40"/>
              <w:rPr>
                <w:i/>
              </w:rPr>
            </w:pPr>
            <w:r w:rsidRPr="007019C4">
              <w:rPr>
                <w:i/>
              </w:rPr>
              <w:t>Secondary priority</w:t>
            </w:r>
          </w:p>
        </w:tc>
        <w:tc>
          <w:tcPr>
            <w:tcW w:w="3488" w:type="dxa"/>
          </w:tcPr>
          <w:p w:rsidR="00FB1B59" w:rsidRDefault="00FB1B59" w:rsidP="007019C4">
            <w:pPr>
              <w:spacing w:before="100" w:after="40"/>
              <w:jc w:val="center"/>
            </w:pPr>
          </w:p>
        </w:tc>
      </w:tr>
      <w:tr w:rsidR="00FB1B59">
        <w:tc>
          <w:tcPr>
            <w:tcW w:w="738" w:type="dxa"/>
          </w:tcPr>
          <w:p w:rsidR="00FB1B59" w:rsidRDefault="00FB1B59" w:rsidP="00CF09C5"/>
        </w:tc>
        <w:tc>
          <w:tcPr>
            <w:tcW w:w="5580" w:type="dxa"/>
          </w:tcPr>
          <w:p w:rsidR="00FB1B59" w:rsidRDefault="00FB1B59" w:rsidP="007019C4">
            <w:pPr>
              <w:spacing w:before="100" w:after="40"/>
            </w:pPr>
            <w:r>
              <w:t>Higher levels (2 &amp; 3) of ISI performance</w:t>
            </w:r>
          </w:p>
        </w:tc>
        <w:tc>
          <w:tcPr>
            <w:tcW w:w="3488" w:type="dxa"/>
          </w:tcPr>
          <w:p w:rsidR="00FB1B59" w:rsidRDefault="00FB1B59" w:rsidP="007019C4">
            <w:pPr>
              <w:spacing w:before="100" w:after="40"/>
              <w:jc w:val="center"/>
            </w:pPr>
            <w:r>
              <w:t>~1 month total, at intervals</w:t>
            </w:r>
          </w:p>
        </w:tc>
      </w:tr>
      <w:tr w:rsidR="00FB1B59">
        <w:tc>
          <w:tcPr>
            <w:tcW w:w="738" w:type="dxa"/>
          </w:tcPr>
          <w:p w:rsidR="00FB1B59" w:rsidRDefault="00FB1B59" w:rsidP="00CF09C5"/>
        </w:tc>
        <w:tc>
          <w:tcPr>
            <w:tcW w:w="5580" w:type="dxa"/>
          </w:tcPr>
          <w:p w:rsidR="00FB1B59" w:rsidRDefault="00FB1B59" w:rsidP="007019C4">
            <w:pPr>
              <w:spacing w:before="100" w:after="40"/>
            </w:pPr>
            <w:r>
              <w:t>Quad suspension actuator testing</w:t>
            </w:r>
          </w:p>
        </w:tc>
        <w:tc>
          <w:tcPr>
            <w:tcW w:w="3488" w:type="dxa"/>
          </w:tcPr>
          <w:p w:rsidR="00FB1B59" w:rsidRDefault="00FB1B59" w:rsidP="007019C4">
            <w:pPr>
              <w:spacing w:before="100" w:after="40"/>
              <w:jc w:val="center"/>
            </w:pPr>
            <w:r>
              <w:t xml:space="preserve"> 1 week</w:t>
            </w:r>
          </w:p>
        </w:tc>
      </w:tr>
      <w:tr w:rsidR="00FB1B59">
        <w:tc>
          <w:tcPr>
            <w:tcW w:w="738" w:type="dxa"/>
          </w:tcPr>
          <w:p w:rsidR="00FB1B59" w:rsidRDefault="00FB1B59" w:rsidP="00CF09C5"/>
        </w:tc>
        <w:tc>
          <w:tcPr>
            <w:tcW w:w="5580" w:type="dxa"/>
          </w:tcPr>
          <w:p w:rsidR="00FB1B59" w:rsidRDefault="00FB1B59" w:rsidP="007019C4">
            <w:pPr>
              <w:spacing w:before="100" w:after="40"/>
            </w:pPr>
            <w:r>
              <w:t>Quad suspension damping optimization</w:t>
            </w:r>
          </w:p>
        </w:tc>
        <w:tc>
          <w:tcPr>
            <w:tcW w:w="3488" w:type="dxa"/>
          </w:tcPr>
          <w:p w:rsidR="00FB1B59" w:rsidRDefault="00FB1B59" w:rsidP="007019C4">
            <w:pPr>
              <w:spacing w:before="100" w:after="40"/>
              <w:jc w:val="center"/>
            </w:pPr>
            <w:r>
              <w:t>1-2 weeks</w:t>
            </w:r>
          </w:p>
        </w:tc>
      </w:tr>
      <w:tr w:rsidR="00FB1B59">
        <w:tc>
          <w:tcPr>
            <w:tcW w:w="738" w:type="dxa"/>
          </w:tcPr>
          <w:p w:rsidR="00FB1B59" w:rsidRDefault="00FB1B59" w:rsidP="00CF09C5"/>
        </w:tc>
        <w:tc>
          <w:tcPr>
            <w:tcW w:w="5580" w:type="dxa"/>
          </w:tcPr>
          <w:p w:rsidR="00FB1B59" w:rsidRDefault="00FB1B59" w:rsidP="007019C4">
            <w:pPr>
              <w:spacing w:before="100" w:after="40"/>
            </w:pPr>
            <w:r>
              <w:t>Adaptive feed-forward on cavity length</w:t>
            </w:r>
          </w:p>
        </w:tc>
        <w:tc>
          <w:tcPr>
            <w:tcW w:w="3488" w:type="dxa"/>
          </w:tcPr>
          <w:p w:rsidR="00FB1B59" w:rsidRDefault="00FB1B59" w:rsidP="007019C4">
            <w:pPr>
              <w:spacing w:before="100" w:after="40"/>
              <w:jc w:val="center"/>
            </w:pPr>
            <w:r>
              <w:t>Data mining + 2-3 wks if applied</w:t>
            </w:r>
          </w:p>
        </w:tc>
      </w:tr>
      <w:tr w:rsidR="00FB1B59">
        <w:tc>
          <w:tcPr>
            <w:tcW w:w="738" w:type="dxa"/>
          </w:tcPr>
          <w:p w:rsidR="00FB1B59" w:rsidRDefault="00FB1B59" w:rsidP="00CF09C5"/>
        </w:tc>
        <w:tc>
          <w:tcPr>
            <w:tcW w:w="5580" w:type="dxa"/>
          </w:tcPr>
          <w:p w:rsidR="00FB1B59" w:rsidRDefault="00FB1B59" w:rsidP="007019C4">
            <w:pPr>
              <w:spacing w:before="100" w:after="40"/>
            </w:pPr>
            <w:r>
              <w:t>Test mass &amp; fiber Q measurements</w:t>
            </w:r>
          </w:p>
        </w:tc>
        <w:tc>
          <w:tcPr>
            <w:tcW w:w="3488" w:type="dxa"/>
          </w:tcPr>
          <w:p w:rsidR="00FB1B59" w:rsidRDefault="00FB1B59" w:rsidP="007019C4">
            <w:pPr>
              <w:spacing w:before="100" w:after="40"/>
              <w:jc w:val="center"/>
            </w:pPr>
            <w:r>
              <w:t>1-2 weeks</w:t>
            </w:r>
          </w:p>
        </w:tc>
      </w:tr>
      <w:tr w:rsidR="00FB1B59">
        <w:tc>
          <w:tcPr>
            <w:tcW w:w="738" w:type="dxa"/>
          </w:tcPr>
          <w:p w:rsidR="00FB1B59" w:rsidRDefault="00FB1B59" w:rsidP="00CF09C5"/>
        </w:tc>
        <w:tc>
          <w:tcPr>
            <w:tcW w:w="5580" w:type="dxa"/>
          </w:tcPr>
          <w:p w:rsidR="00FB1B59" w:rsidRDefault="00FB1B59" w:rsidP="007019C4">
            <w:pPr>
              <w:spacing w:before="100" w:after="40"/>
            </w:pPr>
            <w:r>
              <w:t>Ring heater testing</w:t>
            </w:r>
          </w:p>
        </w:tc>
        <w:tc>
          <w:tcPr>
            <w:tcW w:w="3488" w:type="dxa"/>
          </w:tcPr>
          <w:p w:rsidR="00FB1B59" w:rsidRDefault="00FB1B59" w:rsidP="007019C4">
            <w:pPr>
              <w:spacing w:before="100" w:after="40"/>
              <w:jc w:val="center"/>
            </w:pPr>
            <w:r>
              <w:t>1-2 weeks</w:t>
            </w:r>
          </w:p>
        </w:tc>
      </w:tr>
      <w:tr w:rsidR="00FB1B59">
        <w:tc>
          <w:tcPr>
            <w:tcW w:w="738" w:type="dxa"/>
          </w:tcPr>
          <w:p w:rsidR="00FB1B59" w:rsidRDefault="00FB1B59" w:rsidP="00CF09C5"/>
        </w:tc>
        <w:tc>
          <w:tcPr>
            <w:tcW w:w="5580" w:type="dxa"/>
          </w:tcPr>
          <w:p w:rsidR="00FB1B59" w:rsidRDefault="00FB1B59" w:rsidP="007019C4">
            <w:pPr>
              <w:spacing w:before="100" w:after="40"/>
            </w:pPr>
            <w:r>
              <w:t>Optical lever characterization</w:t>
            </w:r>
          </w:p>
        </w:tc>
        <w:tc>
          <w:tcPr>
            <w:tcW w:w="3488" w:type="dxa"/>
          </w:tcPr>
          <w:p w:rsidR="00FB1B59" w:rsidRDefault="00FB1B59" w:rsidP="007019C4">
            <w:pPr>
              <w:spacing w:before="100" w:after="40"/>
              <w:jc w:val="center"/>
            </w:pPr>
            <w:r>
              <w:t>Data mining</w:t>
            </w:r>
          </w:p>
        </w:tc>
      </w:tr>
      <w:tr w:rsidR="00FB1B59">
        <w:tc>
          <w:tcPr>
            <w:tcW w:w="738" w:type="dxa"/>
            <w:tcBorders>
              <w:bottom w:val="single" w:sz="4" w:space="0" w:color="000000"/>
            </w:tcBorders>
          </w:tcPr>
          <w:p w:rsidR="00FB1B59" w:rsidRDefault="00FB1B59" w:rsidP="00CF09C5"/>
        </w:tc>
        <w:tc>
          <w:tcPr>
            <w:tcW w:w="5580" w:type="dxa"/>
            <w:tcBorders>
              <w:bottom w:val="single" w:sz="4" w:space="0" w:color="000000"/>
            </w:tcBorders>
          </w:tcPr>
          <w:p w:rsidR="00FB1B59" w:rsidRDefault="00FB1B59" w:rsidP="007019C4">
            <w:pPr>
              <w:spacing w:before="100" w:after="40"/>
            </w:pPr>
            <w:r>
              <w:t>Scattered light measurements</w:t>
            </w:r>
          </w:p>
        </w:tc>
        <w:tc>
          <w:tcPr>
            <w:tcW w:w="3488" w:type="dxa"/>
            <w:tcBorders>
              <w:bottom w:val="single" w:sz="4" w:space="0" w:color="000000"/>
            </w:tcBorders>
          </w:tcPr>
          <w:p w:rsidR="00FB1B59" w:rsidRDefault="00FB1B59" w:rsidP="007019C4">
            <w:pPr>
              <w:spacing w:before="100" w:after="40"/>
              <w:jc w:val="center"/>
            </w:pPr>
            <w:r>
              <w:t>1 week</w:t>
            </w:r>
          </w:p>
        </w:tc>
      </w:tr>
    </w:tbl>
    <w:p w:rsidR="00FB1B59" w:rsidRPr="00CF09C5" w:rsidRDefault="00FB1B59" w:rsidP="00CF09C5"/>
    <w:p w:rsidR="00ED3987" w:rsidRDefault="001773CA" w:rsidP="00624503">
      <w:pPr>
        <w:pStyle w:val="Heading1"/>
      </w:pPr>
      <w:r>
        <w:t>Intermediate and Quantitative Test Goals</w:t>
      </w:r>
    </w:p>
    <w:p w:rsidR="001773CA" w:rsidRPr="00ED3987" w:rsidRDefault="00ED3987" w:rsidP="00ED3987">
      <w:pPr>
        <w:keepNext/>
      </w:pPr>
      <w:r>
        <w:t>The table below lists some intermediate and quantitative goals that will be used to gauge progress and guide how the objectives mentioned above are evaluated.</w:t>
      </w:r>
    </w:p>
    <w:p w:rsidR="00EE4D45" w:rsidRDefault="00EE4D45" w:rsidP="00624503">
      <w:pPr>
        <w:keepNext/>
      </w:pPr>
    </w:p>
    <w:tbl>
      <w:tblPr>
        <w:tblStyle w:val="TableGrid"/>
        <w:tblW w:w="0" w:type="auto"/>
        <w:tblInd w:w="0" w:type="dxa"/>
        <w:tblBorders>
          <w:left w:val="none" w:sz="0" w:space="0" w:color="auto"/>
          <w:right w:val="none" w:sz="0" w:space="0" w:color="auto"/>
        </w:tblBorders>
        <w:tblCellMar>
          <w:left w:w="115" w:type="dxa"/>
          <w:right w:w="115" w:type="dxa"/>
        </w:tblCellMar>
        <w:tblLook w:val="00BF"/>
      </w:tblPr>
      <w:tblGrid>
        <w:gridCol w:w="2430"/>
        <w:gridCol w:w="7390"/>
      </w:tblGrid>
      <w:tr w:rsidR="00EE4D45">
        <w:tc>
          <w:tcPr>
            <w:tcW w:w="2268" w:type="dxa"/>
            <w:tcBorders>
              <w:bottom w:val="single" w:sz="4" w:space="0" w:color="000000"/>
              <w:right w:val="nil"/>
            </w:tcBorders>
          </w:tcPr>
          <w:p w:rsidR="00EE4D45" w:rsidRPr="00EE4D45" w:rsidRDefault="00EE4D45" w:rsidP="00624503">
            <w:pPr>
              <w:keepNext/>
              <w:spacing w:before="100" w:after="40"/>
              <w:jc w:val="center"/>
              <w:rPr>
                <w:b/>
              </w:rPr>
            </w:pPr>
            <w:r w:rsidRPr="00EE4D45">
              <w:rPr>
                <w:b/>
              </w:rPr>
              <w:t>Category/Subsystems</w:t>
            </w:r>
          </w:p>
        </w:tc>
        <w:tc>
          <w:tcPr>
            <w:tcW w:w="7538" w:type="dxa"/>
            <w:tcBorders>
              <w:left w:val="nil"/>
              <w:bottom w:val="single" w:sz="4" w:space="0" w:color="000000"/>
            </w:tcBorders>
          </w:tcPr>
          <w:p w:rsidR="00EE4D45" w:rsidRPr="00EE4D45" w:rsidRDefault="00EE4D45" w:rsidP="00624503">
            <w:pPr>
              <w:keepNext/>
              <w:spacing w:before="100" w:after="40"/>
              <w:jc w:val="center"/>
              <w:rPr>
                <w:b/>
              </w:rPr>
            </w:pPr>
            <w:r w:rsidRPr="00EE4D45">
              <w:rPr>
                <w:b/>
              </w:rPr>
              <w:t>Goal</w:t>
            </w:r>
          </w:p>
        </w:tc>
      </w:tr>
      <w:tr w:rsidR="00EE4D45">
        <w:trPr>
          <w:cantSplit/>
        </w:trPr>
        <w:tc>
          <w:tcPr>
            <w:tcW w:w="2268" w:type="dxa"/>
            <w:tcBorders>
              <w:bottom w:val="nil"/>
              <w:right w:val="nil"/>
            </w:tcBorders>
          </w:tcPr>
          <w:p w:rsidR="00EE4D45" w:rsidRDefault="00EE4D45" w:rsidP="00624503">
            <w:pPr>
              <w:keepNext/>
              <w:spacing w:before="100" w:after="40"/>
              <w:jc w:val="left"/>
            </w:pPr>
            <w:r>
              <w:t>Initial alignment</w:t>
            </w:r>
          </w:p>
        </w:tc>
        <w:tc>
          <w:tcPr>
            <w:tcW w:w="7538" w:type="dxa"/>
            <w:tcBorders>
              <w:left w:val="nil"/>
              <w:bottom w:val="nil"/>
            </w:tcBorders>
          </w:tcPr>
          <w:p w:rsidR="00EE4D45" w:rsidRDefault="00EE4D45" w:rsidP="00624503">
            <w:pPr>
              <w:keepNext/>
              <w:spacing w:before="100" w:after="40"/>
            </w:pPr>
            <w:r>
              <w:t>Sustained flashes of optical resonances in the arm cavity</w:t>
            </w:r>
          </w:p>
        </w:tc>
      </w:tr>
      <w:tr w:rsidR="00EE4D45">
        <w:trPr>
          <w:cantSplit/>
        </w:trPr>
        <w:tc>
          <w:tcPr>
            <w:tcW w:w="2268" w:type="dxa"/>
            <w:tcBorders>
              <w:top w:val="nil"/>
              <w:bottom w:val="nil"/>
              <w:right w:val="nil"/>
            </w:tcBorders>
          </w:tcPr>
          <w:p w:rsidR="00EE4D45" w:rsidRDefault="003D0DB7" w:rsidP="00624503">
            <w:pPr>
              <w:keepNext/>
              <w:spacing w:before="100" w:after="40"/>
              <w:jc w:val="left"/>
            </w:pPr>
            <w:r>
              <w:t>Cavity locking/ISC</w:t>
            </w:r>
          </w:p>
        </w:tc>
        <w:tc>
          <w:tcPr>
            <w:tcW w:w="7538" w:type="dxa"/>
            <w:tcBorders>
              <w:top w:val="nil"/>
              <w:left w:val="nil"/>
              <w:bottom w:val="nil"/>
            </w:tcBorders>
          </w:tcPr>
          <w:p w:rsidR="00EE4D45" w:rsidRDefault="003D0DB7" w:rsidP="00624503">
            <w:pPr>
              <w:keepNext/>
              <w:spacing w:before="100" w:after="40"/>
            </w:pPr>
            <w:r>
              <w:t>Green laser locked to cavity for 10 minutes or more</w:t>
            </w:r>
          </w:p>
        </w:tc>
      </w:tr>
      <w:tr w:rsidR="00EE4D45">
        <w:trPr>
          <w:cantSplit/>
        </w:trPr>
        <w:tc>
          <w:tcPr>
            <w:tcW w:w="2268" w:type="dxa"/>
            <w:tcBorders>
              <w:top w:val="nil"/>
              <w:bottom w:val="nil"/>
              <w:right w:val="nil"/>
            </w:tcBorders>
          </w:tcPr>
          <w:p w:rsidR="00EE4D45" w:rsidRDefault="003D0DB7" w:rsidP="00624503">
            <w:pPr>
              <w:keepNext/>
              <w:spacing w:before="100" w:after="40"/>
              <w:jc w:val="left"/>
            </w:pPr>
            <w:r>
              <w:t>TransMon/ALS</w:t>
            </w:r>
          </w:p>
        </w:tc>
        <w:tc>
          <w:tcPr>
            <w:tcW w:w="7538" w:type="dxa"/>
            <w:tcBorders>
              <w:top w:val="nil"/>
              <w:left w:val="nil"/>
              <w:bottom w:val="nil"/>
            </w:tcBorders>
          </w:tcPr>
          <w:p w:rsidR="00EE4D45" w:rsidRDefault="003D0DB7" w:rsidP="00624503">
            <w:pPr>
              <w:keepNext/>
              <w:spacing w:before="100" w:after="40"/>
            </w:pPr>
            <w:r>
              <w:t>Active beam pointing error on the TransMon table below 1 urad rms in angle and below 100 um rms in transverse motion</w:t>
            </w:r>
          </w:p>
        </w:tc>
      </w:tr>
      <w:tr w:rsidR="003D0DB7">
        <w:trPr>
          <w:cantSplit/>
        </w:trPr>
        <w:tc>
          <w:tcPr>
            <w:tcW w:w="2268" w:type="dxa"/>
            <w:tcBorders>
              <w:top w:val="nil"/>
              <w:bottom w:val="nil"/>
              <w:right w:val="nil"/>
            </w:tcBorders>
          </w:tcPr>
          <w:p w:rsidR="003D0DB7" w:rsidRDefault="001E4A2F" w:rsidP="00624503">
            <w:pPr>
              <w:keepNext/>
              <w:spacing w:before="100" w:after="40"/>
              <w:jc w:val="left"/>
            </w:pPr>
            <w:r>
              <w:t>SEI</w:t>
            </w:r>
          </w:p>
        </w:tc>
        <w:tc>
          <w:tcPr>
            <w:tcW w:w="7538" w:type="dxa"/>
            <w:tcBorders>
              <w:top w:val="nil"/>
              <w:left w:val="nil"/>
              <w:bottom w:val="nil"/>
            </w:tcBorders>
          </w:tcPr>
          <w:p w:rsidR="003D0DB7" w:rsidRDefault="003D0DB7" w:rsidP="00624503">
            <w:pPr>
              <w:keepNext/>
              <w:spacing w:before="100" w:after="40"/>
            </w:pPr>
            <w:r>
              <w:t>Relative motion at the suspension point between the two SEI platforms below 250 nm rms</w:t>
            </w:r>
            <w:r w:rsidR="003875E2">
              <w:t xml:space="preserve"> (without global feedback)</w:t>
            </w:r>
          </w:p>
        </w:tc>
      </w:tr>
      <w:tr w:rsidR="003875E2">
        <w:trPr>
          <w:cantSplit/>
        </w:trPr>
        <w:tc>
          <w:tcPr>
            <w:tcW w:w="2268" w:type="dxa"/>
            <w:tcBorders>
              <w:top w:val="nil"/>
              <w:bottom w:val="nil"/>
              <w:right w:val="nil"/>
            </w:tcBorders>
          </w:tcPr>
          <w:p w:rsidR="003875E2" w:rsidRDefault="003875E2" w:rsidP="00624503">
            <w:pPr>
              <w:keepNext/>
              <w:spacing w:before="100" w:after="40"/>
              <w:jc w:val="left"/>
            </w:pPr>
            <w:r>
              <w:t>Cavity length control / SEI/SUS/ALS</w:t>
            </w:r>
          </w:p>
        </w:tc>
        <w:tc>
          <w:tcPr>
            <w:tcW w:w="7538" w:type="dxa"/>
            <w:tcBorders>
              <w:top w:val="nil"/>
              <w:left w:val="nil"/>
              <w:bottom w:val="nil"/>
            </w:tcBorders>
          </w:tcPr>
          <w:p w:rsidR="003875E2" w:rsidRDefault="003875E2" w:rsidP="00624503">
            <w:pPr>
              <w:keepNext/>
              <w:spacing w:before="100" w:after="40"/>
            </w:pPr>
            <w:r>
              <w:t>Relative longitudinal motion between ITM and ETM below 10 nm r</w:t>
            </w:r>
            <w:r w:rsidR="00645154">
              <w:t>ms for frequencies below 0.5 Hz</w:t>
            </w:r>
          </w:p>
        </w:tc>
      </w:tr>
      <w:tr w:rsidR="003875E2">
        <w:trPr>
          <w:cantSplit/>
        </w:trPr>
        <w:tc>
          <w:tcPr>
            <w:tcW w:w="2268" w:type="dxa"/>
            <w:tcBorders>
              <w:top w:val="nil"/>
              <w:bottom w:val="nil"/>
              <w:right w:val="nil"/>
            </w:tcBorders>
          </w:tcPr>
          <w:p w:rsidR="003875E2" w:rsidRDefault="003875E2" w:rsidP="00624503">
            <w:pPr>
              <w:keepNext/>
              <w:spacing w:before="100" w:after="40"/>
              <w:jc w:val="left"/>
            </w:pPr>
            <w:r>
              <w:t>Cavity alignment fluctuations / SEI/SUS</w:t>
            </w:r>
          </w:p>
        </w:tc>
        <w:tc>
          <w:tcPr>
            <w:tcW w:w="7538" w:type="dxa"/>
            <w:tcBorders>
              <w:top w:val="nil"/>
              <w:left w:val="nil"/>
              <w:bottom w:val="nil"/>
            </w:tcBorders>
          </w:tcPr>
          <w:p w:rsidR="003875E2" w:rsidRDefault="003875E2" w:rsidP="00624503">
            <w:pPr>
              <w:keepNext/>
              <w:spacing w:before="100" w:after="40"/>
            </w:pPr>
            <w:r>
              <w:t>Relative alignment fluctuations between the TIM and ETM below 100 nrad rms for frequencies above 0.1 Hz</w:t>
            </w:r>
            <w:r w:rsidR="001E4A2F">
              <w:t xml:space="preserve"> (without global feedback)</w:t>
            </w:r>
          </w:p>
        </w:tc>
      </w:tr>
      <w:tr w:rsidR="00645154">
        <w:trPr>
          <w:cantSplit/>
        </w:trPr>
        <w:tc>
          <w:tcPr>
            <w:tcW w:w="2268" w:type="dxa"/>
            <w:tcBorders>
              <w:top w:val="nil"/>
              <w:bottom w:val="nil"/>
              <w:right w:val="nil"/>
            </w:tcBorders>
          </w:tcPr>
          <w:p w:rsidR="00645154" w:rsidRDefault="00645154" w:rsidP="00624503">
            <w:pPr>
              <w:keepNext/>
              <w:spacing w:before="100" w:after="40"/>
              <w:jc w:val="left"/>
            </w:pPr>
            <w:r>
              <w:t>Controls / SUS</w:t>
            </w:r>
          </w:p>
        </w:tc>
        <w:tc>
          <w:tcPr>
            <w:tcW w:w="7538" w:type="dxa"/>
            <w:tcBorders>
              <w:top w:val="nil"/>
              <w:left w:val="nil"/>
              <w:bottom w:val="nil"/>
            </w:tcBorders>
          </w:tcPr>
          <w:p w:rsidR="00645154" w:rsidRDefault="00645154" w:rsidP="00624503">
            <w:pPr>
              <w:keepNext/>
              <w:spacing w:before="100" w:after="40"/>
            </w:pPr>
            <w:r>
              <w:t>Decoupling of length-to-angle at the level of 0.05 rad/m</w:t>
            </w:r>
            <w:r w:rsidR="00A67B36">
              <w:t xml:space="preserve"> or less</w:t>
            </w:r>
            <w:r>
              <w:t>, for frequencies below 0.5 Hz</w:t>
            </w:r>
          </w:p>
        </w:tc>
      </w:tr>
      <w:tr w:rsidR="00086EBF">
        <w:trPr>
          <w:cantSplit/>
        </w:trPr>
        <w:tc>
          <w:tcPr>
            <w:tcW w:w="2268" w:type="dxa"/>
            <w:tcBorders>
              <w:top w:val="nil"/>
              <w:bottom w:val="nil"/>
              <w:right w:val="nil"/>
            </w:tcBorders>
          </w:tcPr>
          <w:p w:rsidR="00086EBF" w:rsidRDefault="00086EBF" w:rsidP="00624503">
            <w:pPr>
              <w:keepNext/>
              <w:spacing w:before="100" w:after="40"/>
              <w:jc w:val="left"/>
            </w:pPr>
            <w:r>
              <w:t>Controls / ISC</w:t>
            </w:r>
          </w:p>
        </w:tc>
        <w:tc>
          <w:tcPr>
            <w:tcW w:w="7538" w:type="dxa"/>
            <w:tcBorders>
              <w:top w:val="nil"/>
              <w:left w:val="nil"/>
              <w:bottom w:val="nil"/>
            </w:tcBorders>
          </w:tcPr>
          <w:p w:rsidR="00086EBF" w:rsidRDefault="00086EBF" w:rsidP="00624503">
            <w:pPr>
              <w:keepNext/>
              <w:spacing w:before="100" w:after="40"/>
            </w:pPr>
            <w:r>
              <w:t>Fully automated cavity locking sequence</w:t>
            </w:r>
            <w:r w:rsidR="00A61039">
              <w:t>; long term cavity locking</w:t>
            </w:r>
          </w:p>
        </w:tc>
      </w:tr>
      <w:tr w:rsidR="00086EBF">
        <w:trPr>
          <w:cantSplit/>
        </w:trPr>
        <w:tc>
          <w:tcPr>
            <w:tcW w:w="2268" w:type="dxa"/>
            <w:tcBorders>
              <w:top w:val="nil"/>
              <w:bottom w:val="nil"/>
              <w:right w:val="nil"/>
            </w:tcBorders>
          </w:tcPr>
          <w:p w:rsidR="00086EBF" w:rsidRDefault="00086EBF" w:rsidP="00624503">
            <w:pPr>
              <w:keepNext/>
              <w:spacing w:before="100" w:after="40"/>
              <w:jc w:val="left"/>
            </w:pPr>
            <w:r>
              <w:t>TCS</w:t>
            </w:r>
          </w:p>
        </w:tc>
        <w:tc>
          <w:tcPr>
            <w:tcW w:w="7538" w:type="dxa"/>
            <w:tcBorders>
              <w:top w:val="nil"/>
              <w:left w:val="nil"/>
              <w:bottom w:val="nil"/>
            </w:tcBorders>
          </w:tcPr>
          <w:p w:rsidR="00086EBF" w:rsidRDefault="00086EBF" w:rsidP="00624503">
            <w:pPr>
              <w:keepNext/>
              <w:spacing w:before="100" w:after="40"/>
            </w:pPr>
            <w:r>
              <w:t xml:space="preserve">Ring heater wavefront distortion, as measured by the Hartmann sensor, in agreement with the model at the 10 nm rms level. </w:t>
            </w:r>
          </w:p>
        </w:tc>
      </w:tr>
      <w:tr w:rsidR="00086EBF">
        <w:trPr>
          <w:cantSplit/>
        </w:trPr>
        <w:tc>
          <w:tcPr>
            <w:tcW w:w="2268" w:type="dxa"/>
            <w:tcBorders>
              <w:top w:val="nil"/>
              <w:bottom w:val="nil"/>
              <w:right w:val="nil"/>
            </w:tcBorders>
          </w:tcPr>
          <w:p w:rsidR="00086EBF" w:rsidRDefault="00086EBF" w:rsidP="00624503">
            <w:pPr>
              <w:keepNext/>
              <w:spacing w:before="100" w:after="40"/>
              <w:jc w:val="left"/>
            </w:pPr>
            <w:r>
              <w:t>Optical levers</w:t>
            </w:r>
          </w:p>
        </w:tc>
        <w:tc>
          <w:tcPr>
            <w:tcW w:w="7538" w:type="dxa"/>
            <w:tcBorders>
              <w:top w:val="nil"/>
              <w:left w:val="nil"/>
              <w:bottom w:val="nil"/>
            </w:tcBorders>
          </w:tcPr>
          <w:p w:rsidR="00086EBF" w:rsidRDefault="00086EBF" w:rsidP="00624503">
            <w:pPr>
              <w:keepNext/>
              <w:spacing w:before="100" w:after="40"/>
            </w:pPr>
            <w:r>
              <w:t>Optical lever long term drift below 1 urad</w:t>
            </w:r>
          </w:p>
        </w:tc>
      </w:tr>
      <w:tr w:rsidR="00086EBF">
        <w:trPr>
          <w:cantSplit/>
        </w:trPr>
        <w:tc>
          <w:tcPr>
            <w:tcW w:w="2268" w:type="dxa"/>
            <w:tcBorders>
              <w:top w:val="nil"/>
              <w:bottom w:val="nil"/>
              <w:right w:val="nil"/>
            </w:tcBorders>
          </w:tcPr>
          <w:p w:rsidR="00086EBF" w:rsidRDefault="00086EBF" w:rsidP="00624503">
            <w:pPr>
              <w:keepNext/>
              <w:spacing w:before="100" w:after="40"/>
              <w:jc w:val="left"/>
            </w:pPr>
            <w:r>
              <w:t>Calibration</w:t>
            </w:r>
          </w:p>
        </w:tc>
        <w:tc>
          <w:tcPr>
            <w:tcW w:w="7538" w:type="dxa"/>
            <w:tcBorders>
              <w:top w:val="nil"/>
              <w:left w:val="nil"/>
              <w:bottom w:val="nil"/>
            </w:tcBorders>
          </w:tcPr>
          <w:p w:rsidR="00086EBF" w:rsidRDefault="00086EBF" w:rsidP="00624503">
            <w:pPr>
              <w:keepNext/>
              <w:spacing w:before="100" w:after="40"/>
            </w:pPr>
            <w:r>
              <w:t>ETM displacement calibration at the 20% level</w:t>
            </w:r>
          </w:p>
        </w:tc>
      </w:tr>
      <w:tr w:rsidR="00086EBF">
        <w:trPr>
          <w:cantSplit/>
        </w:trPr>
        <w:tc>
          <w:tcPr>
            <w:tcW w:w="2268" w:type="dxa"/>
            <w:tcBorders>
              <w:top w:val="nil"/>
              <w:bottom w:val="nil"/>
              <w:right w:val="nil"/>
            </w:tcBorders>
          </w:tcPr>
          <w:p w:rsidR="00086EBF" w:rsidRDefault="00086EBF" w:rsidP="00624503">
            <w:pPr>
              <w:keepNext/>
              <w:spacing w:before="100" w:after="40"/>
              <w:jc w:val="left"/>
            </w:pPr>
            <w:r>
              <w:t>ALS</w:t>
            </w:r>
          </w:p>
        </w:tc>
        <w:tc>
          <w:tcPr>
            <w:tcW w:w="7538" w:type="dxa"/>
            <w:tcBorders>
              <w:top w:val="nil"/>
              <w:left w:val="nil"/>
              <w:bottom w:val="nil"/>
            </w:tcBorders>
          </w:tcPr>
          <w:p w:rsidR="00086EBF" w:rsidRDefault="001E4A2F" w:rsidP="00624503">
            <w:pPr>
              <w:keepNext/>
              <w:spacing w:before="100" w:after="40"/>
            </w:pPr>
            <w:r>
              <w:t>Ability to control frequency offset between 1064 nm and 532 nm resonances at the 10 Hz level</w:t>
            </w:r>
          </w:p>
        </w:tc>
      </w:tr>
      <w:tr w:rsidR="00086EBF">
        <w:tc>
          <w:tcPr>
            <w:tcW w:w="2268" w:type="dxa"/>
            <w:tcBorders>
              <w:top w:val="nil"/>
              <w:right w:val="nil"/>
            </w:tcBorders>
          </w:tcPr>
          <w:p w:rsidR="00086EBF" w:rsidRDefault="00086EBF" w:rsidP="00624503">
            <w:pPr>
              <w:keepNext/>
              <w:spacing w:before="100" w:after="40"/>
              <w:jc w:val="left"/>
            </w:pPr>
            <w:r>
              <w:t>ALS</w:t>
            </w:r>
          </w:p>
        </w:tc>
        <w:tc>
          <w:tcPr>
            <w:tcW w:w="7538" w:type="dxa"/>
            <w:tcBorders>
              <w:top w:val="nil"/>
              <w:left w:val="nil"/>
            </w:tcBorders>
          </w:tcPr>
          <w:p w:rsidR="00086EBF" w:rsidRDefault="00086EBF" w:rsidP="00624503">
            <w:pPr>
              <w:keepNext/>
              <w:spacing w:before="100" w:after="40"/>
            </w:pPr>
            <w:r>
              <w:t>Relative stability of the 1064 nm and 532 nm resonances at the 10 Hz level for frequencies below 0.5 Hz</w:t>
            </w:r>
          </w:p>
        </w:tc>
      </w:tr>
    </w:tbl>
    <w:p w:rsidR="00A55BCA" w:rsidRPr="001773CA" w:rsidRDefault="00A55BCA" w:rsidP="00EE4D45"/>
    <w:p w:rsidR="00FB1B59" w:rsidRDefault="00FB1B59" w:rsidP="00624503">
      <w:pPr>
        <w:pStyle w:val="Heading1"/>
      </w:pPr>
      <w:r>
        <w:t>Strawman timeline</w:t>
      </w:r>
    </w:p>
    <w:p w:rsidR="00FB1B59" w:rsidRDefault="00FB1B59">
      <w:pPr>
        <w:spacing w:before="0"/>
        <w:jc w:val="left"/>
      </w:pPr>
    </w:p>
    <w:p w:rsidR="00FB1B59" w:rsidRDefault="00FB1B59">
      <w:pPr>
        <w:spacing w:before="0"/>
        <w:jc w:val="left"/>
        <w:sectPr w:rsidR="00FB1B59">
          <w:headerReference w:type="default" r:id="rId15"/>
          <w:footerReference w:type="even" r:id="rId16"/>
          <w:footerReference w:type="default" r:id="rId17"/>
          <w:headerReference w:type="first" r:id="rId18"/>
          <w:type w:val="continuous"/>
          <w:pgSz w:w="12240" w:h="15840" w:code="1"/>
          <w:pgMar w:top="1440" w:right="1325" w:bottom="1440" w:left="1325" w:gutter="0"/>
          <w:titlePg/>
        </w:sectPr>
      </w:pPr>
    </w:p>
    <w:tbl>
      <w:tblPr>
        <w:tblW w:w="13176" w:type="dxa"/>
        <w:tblCellMar>
          <w:left w:w="29" w:type="dxa"/>
          <w:right w:w="29" w:type="dxa"/>
        </w:tblCellMar>
        <w:tblLook w:val="00A0"/>
      </w:tblPr>
      <w:tblGrid>
        <w:gridCol w:w="1088"/>
        <w:gridCol w:w="1079"/>
        <w:gridCol w:w="1094"/>
        <w:gridCol w:w="1090"/>
        <w:gridCol w:w="1090"/>
        <w:gridCol w:w="1082"/>
        <w:gridCol w:w="1233"/>
        <w:gridCol w:w="1079"/>
        <w:gridCol w:w="1079"/>
        <w:gridCol w:w="1090"/>
        <w:gridCol w:w="1090"/>
        <w:gridCol w:w="1082"/>
      </w:tblGrid>
      <w:tr w:rsidR="00FB1B59">
        <w:trPr>
          <w:trHeight w:val="432"/>
        </w:trPr>
        <w:tc>
          <w:tcPr>
            <w:tcW w:w="3261" w:type="dxa"/>
            <w:gridSpan w:val="3"/>
            <w:tcBorders>
              <w:bottom w:val="single" w:sz="4" w:space="0" w:color="auto"/>
              <w:right w:val="single" w:sz="4" w:space="0" w:color="auto"/>
            </w:tcBorders>
            <w:vAlign w:val="center"/>
          </w:tcPr>
          <w:p w:rsidR="00FB1B59" w:rsidRPr="007019C4" w:rsidRDefault="00FB1B59" w:rsidP="007019C4">
            <w:pPr>
              <w:spacing w:before="0"/>
              <w:jc w:val="center"/>
              <w:rPr>
                <w:rFonts w:ascii="Arial" w:hAnsi="Arial"/>
                <w:b/>
                <w:bCs/>
                <w:sz w:val="22"/>
                <w:szCs w:val="22"/>
              </w:rPr>
            </w:pPr>
            <w:r w:rsidRPr="007019C4">
              <w:rPr>
                <w:rFonts w:ascii="Arial" w:hAnsi="Arial"/>
                <w:bCs/>
                <w:sz w:val="22"/>
                <w:szCs w:val="22"/>
              </w:rPr>
              <w:t>1 month</w:t>
            </w:r>
          </w:p>
        </w:tc>
        <w:tc>
          <w:tcPr>
            <w:tcW w:w="3262" w:type="dxa"/>
            <w:gridSpan w:val="3"/>
            <w:tcBorders>
              <w:left w:val="single" w:sz="4" w:space="0" w:color="auto"/>
              <w:bottom w:val="single" w:sz="4" w:space="0" w:color="auto"/>
              <w:right w:val="single" w:sz="4" w:space="0" w:color="auto"/>
            </w:tcBorders>
            <w:vAlign w:val="center"/>
          </w:tcPr>
          <w:p w:rsidR="00FB1B59" w:rsidRPr="007019C4" w:rsidRDefault="00FB1B59" w:rsidP="007019C4">
            <w:pPr>
              <w:spacing w:before="0"/>
              <w:jc w:val="center"/>
              <w:rPr>
                <w:rFonts w:ascii="Arial" w:hAnsi="Arial"/>
                <w:b/>
                <w:bCs/>
                <w:sz w:val="22"/>
                <w:szCs w:val="22"/>
              </w:rPr>
            </w:pPr>
            <w:r w:rsidRPr="007019C4">
              <w:rPr>
                <w:rFonts w:ascii="Arial" w:hAnsi="Arial"/>
                <w:bCs/>
                <w:sz w:val="22"/>
                <w:szCs w:val="22"/>
              </w:rPr>
              <w:t>1 month</w:t>
            </w:r>
          </w:p>
        </w:tc>
        <w:tc>
          <w:tcPr>
            <w:tcW w:w="3391" w:type="dxa"/>
            <w:gridSpan w:val="3"/>
            <w:tcBorders>
              <w:left w:val="single" w:sz="4" w:space="0" w:color="auto"/>
              <w:bottom w:val="single" w:sz="4" w:space="0" w:color="auto"/>
              <w:right w:val="single" w:sz="4" w:space="0" w:color="auto"/>
            </w:tcBorders>
            <w:vAlign w:val="center"/>
          </w:tcPr>
          <w:p w:rsidR="00FB1B59" w:rsidRPr="007019C4" w:rsidRDefault="00FB1B59" w:rsidP="007019C4">
            <w:pPr>
              <w:spacing w:before="0"/>
              <w:jc w:val="center"/>
              <w:rPr>
                <w:rFonts w:ascii="Arial" w:hAnsi="Arial"/>
                <w:b/>
                <w:bCs/>
                <w:sz w:val="22"/>
                <w:szCs w:val="22"/>
              </w:rPr>
            </w:pPr>
            <w:r w:rsidRPr="007019C4">
              <w:rPr>
                <w:rFonts w:ascii="Arial" w:hAnsi="Arial"/>
                <w:bCs/>
                <w:sz w:val="22"/>
                <w:szCs w:val="22"/>
              </w:rPr>
              <w:t>1 month</w:t>
            </w:r>
          </w:p>
        </w:tc>
        <w:tc>
          <w:tcPr>
            <w:tcW w:w="3262" w:type="dxa"/>
            <w:gridSpan w:val="3"/>
            <w:tcBorders>
              <w:left w:val="single" w:sz="4" w:space="0" w:color="auto"/>
              <w:bottom w:val="single" w:sz="4" w:space="0" w:color="auto"/>
            </w:tcBorders>
            <w:vAlign w:val="center"/>
          </w:tcPr>
          <w:p w:rsidR="00FB1B59" w:rsidRPr="007019C4" w:rsidRDefault="00FB1B59" w:rsidP="007019C4">
            <w:pPr>
              <w:spacing w:before="0"/>
              <w:jc w:val="center"/>
              <w:rPr>
                <w:rFonts w:ascii="Arial" w:hAnsi="Arial"/>
                <w:b/>
                <w:bCs/>
                <w:sz w:val="22"/>
                <w:szCs w:val="22"/>
              </w:rPr>
            </w:pPr>
            <w:r w:rsidRPr="007019C4">
              <w:rPr>
                <w:rFonts w:ascii="Arial" w:hAnsi="Arial"/>
                <w:bCs/>
                <w:sz w:val="22"/>
                <w:szCs w:val="22"/>
              </w:rPr>
              <w:t>1 month</w:t>
            </w:r>
          </w:p>
        </w:tc>
      </w:tr>
      <w:tr w:rsidR="00FB1B59">
        <w:trPr>
          <w:trHeight w:val="432"/>
        </w:trPr>
        <w:tc>
          <w:tcPr>
            <w:tcW w:w="1088" w:type="dxa"/>
            <w:tcBorders>
              <w:top w:val="single" w:sz="4" w:space="0" w:color="auto"/>
              <w:bottom w:val="single" w:sz="4" w:space="0" w:color="auto"/>
              <w:right w:val="single" w:sz="4" w:space="0" w:color="auto"/>
            </w:tcBorders>
            <w:vAlign w:val="center"/>
          </w:tcPr>
          <w:p w:rsidR="00FB1B59" w:rsidRPr="007019C4" w:rsidRDefault="00FB1B59" w:rsidP="007019C4">
            <w:pPr>
              <w:spacing w:before="0"/>
              <w:jc w:val="center"/>
              <w:rPr>
                <w:rFonts w:ascii="Arial" w:hAnsi="Arial"/>
                <w:b/>
                <w:bCs/>
                <w:sz w:val="20"/>
                <w:szCs w:val="22"/>
              </w:rPr>
            </w:pPr>
            <w:r w:rsidRPr="007019C4">
              <w:rPr>
                <w:rFonts w:ascii="Arial" w:hAnsi="Arial"/>
                <w:bCs/>
                <w:sz w:val="20"/>
                <w:szCs w:val="22"/>
              </w:rPr>
              <w:t>10 days</w:t>
            </w:r>
          </w:p>
        </w:tc>
        <w:tc>
          <w:tcPr>
            <w:tcW w:w="1079" w:type="dxa"/>
            <w:tcBorders>
              <w:top w:val="single" w:sz="4" w:space="0" w:color="auto"/>
              <w:left w:val="single" w:sz="4" w:space="0" w:color="auto"/>
              <w:bottom w:val="single" w:sz="4" w:space="0" w:color="auto"/>
              <w:right w:val="single" w:sz="4" w:space="0" w:color="auto"/>
            </w:tcBorders>
          </w:tcPr>
          <w:p w:rsidR="00FB1B59" w:rsidRPr="007019C4" w:rsidRDefault="00FB1B59" w:rsidP="007019C4">
            <w:pPr>
              <w:spacing w:before="0"/>
              <w:jc w:val="center"/>
              <w:rPr>
                <w:rFonts w:ascii="Arial" w:hAnsi="Arial"/>
                <w:b/>
                <w:sz w:val="22"/>
                <w:szCs w:val="22"/>
              </w:rPr>
            </w:pPr>
          </w:p>
        </w:tc>
        <w:tc>
          <w:tcPr>
            <w:tcW w:w="1094" w:type="dxa"/>
            <w:tcBorders>
              <w:top w:val="single" w:sz="4" w:space="0" w:color="auto"/>
              <w:left w:val="single" w:sz="4" w:space="0" w:color="auto"/>
              <w:bottom w:val="single" w:sz="4" w:space="0" w:color="auto"/>
              <w:right w:val="single" w:sz="4" w:space="0" w:color="auto"/>
            </w:tcBorders>
          </w:tcPr>
          <w:p w:rsidR="00FB1B59" w:rsidRPr="007019C4" w:rsidRDefault="00FB1B59" w:rsidP="007019C4">
            <w:pPr>
              <w:spacing w:before="0"/>
              <w:jc w:val="center"/>
              <w:rPr>
                <w:rFonts w:ascii="Arial" w:hAnsi="Arial"/>
                <w:b/>
                <w:sz w:val="22"/>
                <w:szCs w:val="22"/>
              </w:rPr>
            </w:pPr>
          </w:p>
        </w:tc>
        <w:tc>
          <w:tcPr>
            <w:tcW w:w="1090" w:type="dxa"/>
            <w:tcBorders>
              <w:top w:val="single" w:sz="4" w:space="0" w:color="auto"/>
              <w:left w:val="single" w:sz="4" w:space="0" w:color="auto"/>
              <w:bottom w:val="single" w:sz="4" w:space="0" w:color="auto"/>
              <w:right w:val="single" w:sz="4" w:space="0" w:color="auto"/>
            </w:tcBorders>
          </w:tcPr>
          <w:p w:rsidR="00FB1B59" w:rsidRPr="007019C4" w:rsidRDefault="00FB1B59" w:rsidP="007019C4">
            <w:pPr>
              <w:spacing w:before="0"/>
              <w:jc w:val="center"/>
              <w:rPr>
                <w:rFonts w:ascii="Arial" w:hAnsi="Arial"/>
                <w:b/>
                <w:sz w:val="22"/>
                <w:szCs w:val="22"/>
              </w:rPr>
            </w:pPr>
          </w:p>
        </w:tc>
        <w:tc>
          <w:tcPr>
            <w:tcW w:w="1090" w:type="dxa"/>
            <w:tcBorders>
              <w:top w:val="single" w:sz="4" w:space="0" w:color="auto"/>
              <w:left w:val="single" w:sz="4" w:space="0" w:color="auto"/>
              <w:bottom w:val="single" w:sz="4" w:space="0" w:color="auto"/>
              <w:right w:val="single" w:sz="4" w:space="0" w:color="auto"/>
            </w:tcBorders>
          </w:tcPr>
          <w:p w:rsidR="00FB1B59" w:rsidRPr="007019C4" w:rsidRDefault="00FB1B59" w:rsidP="007019C4">
            <w:pPr>
              <w:spacing w:before="0"/>
              <w:jc w:val="center"/>
              <w:rPr>
                <w:rFonts w:ascii="Arial" w:hAnsi="Arial"/>
                <w:b/>
                <w:sz w:val="22"/>
                <w:szCs w:val="22"/>
              </w:rPr>
            </w:pPr>
          </w:p>
        </w:tc>
        <w:tc>
          <w:tcPr>
            <w:tcW w:w="1082" w:type="dxa"/>
            <w:tcBorders>
              <w:top w:val="single" w:sz="4" w:space="0" w:color="auto"/>
              <w:left w:val="single" w:sz="4" w:space="0" w:color="auto"/>
              <w:bottom w:val="single" w:sz="4" w:space="0" w:color="auto"/>
              <w:right w:val="single" w:sz="4" w:space="0" w:color="auto"/>
            </w:tcBorders>
          </w:tcPr>
          <w:p w:rsidR="00FB1B59" w:rsidRPr="007019C4" w:rsidRDefault="00FB1B59" w:rsidP="007019C4">
            <w:pPr>
              <w:spacing w:before="0"/>
              <w:jc w:val="center"/>
              <w:rPr>
                <w:rFonts w:ascii="Arial" w:hAnsi="Arial"/>
                <w:b/>
                <w:sz w:val="22"/>
                <w:szCs w:val="22"/>
              </w:rPr>
            </w:pPr>
          </w:p>
        </w:tc>
        <w:tc>
          <w:tcPr>
            <w:tcW w:w="1233" w:type="dxa"/>
            <w:tcBorders>
              <w:top w:val="single" w:sz="4" w:space="0" w:color="auto"/>
              <w:left w:val="single" w:sz="4" w:space="0" w:color="auto"/>
              <w:bottom w:val="single" w:sz="4" w:space="0" w:color="auto"/>
              <w:right w:val="single" w:sz="4" w:space="0" w:color="auto"/>
            </w:tcBorders>
          </w:tcPr>
          <w:p w:rsidR="00FB1B59" w:rsidRPr="007019C4" w:rsidRDefault="00FB1B59" w:rsidP="007019C4">
            <w:pPr>
              <w:spacing w:before="0"/>
              <w:jc w:val="center"/>
              <w:rPr>
                <w:rFonts w:ascii="Arial" w:hAnsi="Arial"/>
                <w:b/>
                <w:sz w:val="22"/>
                <w:szCs w:val="22"/>
              </w:rPr>
            </w:pPr>
          </w:p>
        </w:tc>
        <w:tc>
          <w:tcPr>
            <w:tcW w:w="1079" w:type="dxa"/>
            <w:tcBorders>
              <w:top w:val="single" w:sz="4" w:space="0" w:color="auto"/>
              <w:left w:val="single" w:sz="4" w:space="0" w:color="auto"/>
              <w:bottom w:val="single" w:sz="4" w:space="0" w:color="auto"/>
              <w:right w:val="single" w:sz="4" w:space="0" w:color="auto"/>
            </w:tcBorders>
          </w:tcPr>
          <w:p w:rsidR="00FB1B59" w:rsidRPr="007019C4" w:rsidRDefault="00FB1B59" w:rsidP="007019C4">
            <w:pPr>
              <w:spacing w:before="0"/>
              <w:jc w:val="center"/>
              <w:rPr>
                <w:rFonts w:ascii="Arial" w:hAnsi="Arial"/>
                <w:b/>
                <w:sz w:val="22"/>
                <w:szCs w:val="22"/>
              </w:rPr>
            </w:pPr>
          </w:p>
        </w:tc>
        <w:tc>
          <w:tcPr>
            <w:tcW w:w="1079" w:type="dxa"/>
            <w:tcBorders>
              <w:top w:val="single" w:sz="4" w:space="0" w:color="auto"/>
              <w:left w:val="single" w:sz="4" w:space="0" w:color="auto"/>
              <w:bottom w:val="single" w:sz="4" w:space="0" w:color="auto"/>
              <w:right w:val="single" w:sz="4" w:space="0" w:color="auto"/>
            </w:tcBorders>
          </w:tcPr>
          <w:p w:rsidR="00FB1B59" w:rsidRPr="007019C4" w:rsidRDefault="00FB1B59" w:rsidP="007019C4">
            <w:pPr>
              <w:spacing w:before="0"/>
              <w:jc w:val="center"/>
              <w:rPr>
                <w:rFonts w:ascii="Arial" w:hAnsi="Arial"/>
                <w:b/>
                <w:sz w:val="22"/>
                <w:szCs w:val="22"/>
              </w:rPr>
            </w:pPr>
          </w:p>
        </w:tc>
        <w:tc>
          <w:tcPr>
            <w:tcW w:w="1090" w:type="dxa"/>
            <w:tcBorders>
              <w:top w:val="single" w:sz="4" w:space="0" w:color="auto"/>
              <w:left w:val="single" w:sz="4" w:space="0" w:color="auto"/>
              <w:bottom w:val="single" w:sz="4" w:space="0" w:color="auto"/>
              <w:right w:val="single" w:sz="4" w:space="0" w:color="auto"/>
            </w:tcBorders>
          </w:tcPr>
          <w:p w:rsidR="00FB1B59" w:rsidRPr="007019C4" w:rsidRDefault="00FB1B59" w:rsidP="007019C4">
            <w:pPr>
              <w:spacing w:before="0"/>
              <w:jc w:val="center"/>
              <w:rPr>
                <w:rFonts w:ascii="Arial" w:hAnsi="Arial"/>
                <w:b/>
                <w:sz w:val="22"/>
                <w:szCs w:val="22"/>
              </w:rPr>
            </w:pPr>
          </w:p>
        </w:tc>
        <w:tc>
          <w:tcPr>
            <w:tcW w:w="1090" w:type="dxa"/>
            <w:tcBorders>
              <w:top w:val="single" w:sz="4" w:space="0" w:color="auto"/>
              <w:left w:val="single" w:sz="4" w:space="0" w:color="auto"/>
              <w:bottom w:val="single" w:sz="4" w:space="0" w:color="auto"/>
              <w:right w:val="single" w:sz="4" w:space="0" w:color="auto"/>
            </w:tcBorders>
          </w:tcPr>
          <w:p w:rsidR="00FB1B59" w:rsidRPr="007019C4" w:rsidRDefault="00FB1B59" w:rsidP="007019C4">
            <w:pPr>
              <w:spacing w:before="0"/>
              <w:jc w:val="center"/>
              <w:rPr>
                <w:rFonts w:ascii="Arial" w:hAnsi="Arial"/>
                <w:b/>
                <w:sz w:val="22"/>
                <w:szCs w:val="22"/>
              </w:rPr>
            </w:pPr>
          </w:p>
        </w:tc>
        <w:tc>
          <w:tcPr>
            <w:tcW w:w="1082" w:type="dxa"/>
            <w:tcBorders>
              <w:top w:val="single" w:sz="4" w:space="0" w:color="auto"/>
              <w:left w:val="single" w:sz="4" w:space="0" w:color="auto"/>
              <w:bottom w:val="single" w:sz="4" w:space="0" w:color="auto"/>
            </w:tcBorders>
          </w:tcPr>
          <w:p w:rsidR="00FB1B59" w:rsidRPr="007019C4" w:rsidRDefault="00FB1B59" w:rsidP="007019C4">
            <w:pPr>
              <w:spacing w:before="0"/>
              <w:jc w:val="center"/>
              <w:rPr>
                <w:rFonts w:ascii="Arial" w:hAnsi="Arial"/>
                <w:b/>
                <w:sz w:val="22"/>
                <w:szCs w:val="22"/>
              </w:rPr>
            </w:pPr>
          </w:p>
        </w:tc>
      </w:tr>
      <w:tr w:rsidR="00FB1B59">
        <w:trPr>
          <w:trHeight w:val="720"/>
        </w:trPr>
        <w:tc>
          <w:tcPr>
            <w:tcW w:w="1088" w:type="dxa"/>
            <w:tcBorders>
              <w:top w:val="single" w:sz="4" w:space="0" w:color="auto"/>
            </w:tcBorders>
            <w:shd w:val="clear" w:color="auto" w:fill="D3DFEE"/>
            <w:vAlign w:val="center"/>
          </w:tcPr>
          <w:p w:rsidR="00FB1B59" w:rsidRPr="007019C4" w:rsidRDefault="00FB1B59" w:rsidP="007019C4">
            <w:pPr>
              <w:spacing w:before="0"/>
              <w:jc w:val="center"/>
              <w:rPr>
                <w:rFonts w:ascii="Arial" w:hAnsi="Arial"/>
                <w:b/>
                <w:bCs/>
                <w:sz w:val="20"/>
                <w:szCs w:val="22"/>
              </w:rPr>
            </w:pPr>
            <w:r w:rsidRPr="007019C4">
              <w:rPr>
                <w:rFonts w:ascii="Arial" w:hAnsi="Arial"/>
                <w:bCs/>
                <w:sz w:val="20"/>
                <w:szCs w:val="22"/>
              </w:rPr>
              <w:t>Find beam, align cavity</w:t>
            </w:r>
          </w:p>
        </w:tc>
        <w:tc>
          <w:tcPr>
            <w:tcW w:w="1079" w:type="dxa"/>
            <w:tcBorders>
              <w:top w:val="single" w:sz="4" w:space="0" w:color="auto"/>
            </w:tcBorders>
          </w:tcPr>
          <w:p w:rsidR="00FB1B59" w:rsidRPr="007019C4" w:rsidRDefault="00FB1B59" w:rsidP="007019C4">
            <w:pPr>
              <w:spacing w:before="0"/>
              <w:rPr>
                <w:rFonts w:ascii="Arial" w:hAnsi="Arial"/>
                <w:b/>
                <w:sz w:val="22"/>
                <w:szCs w:val="22"/>
              </w:rPr>
            </w:pPr>
          </w:p>
        </w:tc>
        <w:tc>
          <w:tcPr>
            <w:tcW w:w="1094" w:type="dxa"/>
            <w:tcBorders>
              <w:top w:val="single" w:sz="4" w:space="0" w:color="auto"/>
            </w:tcBorders>
          </w:tcPr>
          <w:p w:rsidR="00FB1B59" w:rsidRPr="007019C4" w:rsidRDefault="00FB1B59" w:rsidP="007019C4">
            <w:pPr>
              <w:spacing w:before="0"/>
              <w:rPr>
                <w:rFonts w:ascii="Arial" w:hAnsi="Arial"/>
                <w:b/>
                <w:sz w:val="22"/>
                <w:szCs w:val="22"/>
              </w:rPr>
            </w:pPr>
          </w:p>
        </w:tc>
        <w:tc>
          <w:tcPr>
            <w:tcW w:w="1090" w:type="dxa"/>
            <w:tcBorders>
              <w:top w:val="single" w:sz="4" w:space="0" w:color="auto"/>
            </w:tcBorders>
          </w:tcPr>
          <w:p w:rsidR="00FB1B59" w:rsidRPr="007019C4" w:rsidRDefault="00FB1B59" w:rsidP="007019C4">
            <w:pPr>
              <w:spacing w:before="0"/>
              <w:rPr>
                <w:rFonts w:ascii="Arial" w:hAnsi="Arial"/>
                <w:b/>
                <w:sz w:val="22"/>
                <w:szCs w:val="22"/>
              </w:rPr>
            </w:pPr>
          </w:p>
        </w:tc>
        <w:tc>
          <w:tcPr>
            <w:tcW w:w="1090" w:type="dxa"/>
            <w:tcBorders>
              <w:top w:val="single" w:sz="4" w:space="0" w:color="auto"/>
            </w:tcBorders>
          </w:tcPr>
          <w:p w:rsidR="00FB1B59" w:rsidRPr="007019C4" w:rsidRDefault="00FB1B59" w:rsidP="007019C4">
            <w:pPr>
              <w:spacing w:before="0"/>
              <w:rPr>
                <w:rFonts w:ascii="Arial" w:hAnsi="Arial"/>
                <w:b/>
                <w:sz w:val="22"/>
                <w:szCs w:val="22"/>
              </w:rPr>
            </w:pPr>
          </w:p>
        </w:tc>
        <w:tc>
          <w:tcPr>
            <w:tcW w:w="1082" w:type="dxa"/>
            <w:tcBorders>
              <w:top w:val="single" w:sz="4" w:space="0" w:color="auto"/>
            </w:tcBorders>
          </w:tcPr>
          <w:p w:rsidR="00FB1B59" w:rsidRPr="007019C4" w:rsidRDefault="00FB1B59" w:rsidP="007019C4">
            <w:pPr>
              <w:spacing w:before="0"/>
              <w:rPr>
                <w:rFonts w:ascii="Arial" w:hAnsi="Arial"/>
                <w:b/>
                <w:sz w:val="22"/>
                <w:szCs w:val="22"/>
              </w:rPr>
            </w:pPr>
          </w:p>
        </w:tc>
        <w:tc>
          <w:tcPr>
            <w:tcW w:w="1233" w:type="dxa"/>
            <w:tcBorders>
              <w:top w:val="single" w:sz="4" w:space="0" w:color="auto"/>
            </w:tcBorders>
          </w:tcPr>
          <w:p w:rsidR="00FB1B59" w:rsidRPr="007019C4" w:rsidRDefault="00FB1B59" w:rsidP="007019C4">
            <w:pPr>
              <w:spacing w:before="0"/>
              <w:rPr>
                <w:rFonts w:ascii="Arial" w:hAnsi="Arial"/>
                <w:b/>
                <w:sz w:val="22"/>
                <w:szCs w:val="22"/>
              </w:rPr>
            </w:pPr>
          </w:p>
        </w:tc>
        <w:tc>
          <w:tcPr>
            <w:tcW w:w="1079" w:type="dxa"/>
            <w:tcBorders>
              <w:top w:val="single" w:sz="4" w:space="0" w:color="auto"/>
            </w:tcBorders>
          </w:tcPr>
          <w:p w:rsidR="00FB1B59" w:rsidRPr="007019C4" w:rsidRDefault="00FB1B59" w:rsidP="007019C4">
            <w:pPr>
              <w:spacing w:before="0"/>
              <w:rPr>
                <w:rFonts w:ascii="Arial" w:hAnsi="Arial"/>
                <w:b/>
                <w:sz w:val="22"/>
                <w:szCs w:val="22"/>
              </w:rPr>
            </w:pPr>
          </w:p>
        </w:tc>
        <w:tc>
          <w:tcPr>
            <w:tcW w:w="1079" w:type="dxa"/>
            <w:tcBorders>
              <w:top w:val="single" w:sz="4" w:space="0" w:color="auto"/>
            </w:tcBorders>
          </w:tcPr>
          <w:p w:rsidR="00FB1B59" w:rsidRPr="007019C4" w:rsidRDefault="00FB1B59" w:rsidP="007019C4">
            <w:pPr>
              <w:spacing w:before="0"/>
              <w:rPr>
                <w:rFonts w:ascii="Arial" w:hAnsi="Arial"/>
                <w:b/>
                <w:sz w:val="22"/>
                <w:szCs w:val="22"/>
              </w:rPr>
            </w:pPr>
          </w:p>
        </w:tc>
        <w:tc>
          <w:tcPr>
            <w:tcW w:w="1090" w:type="dxa"/>
            <w:tcBorders>
              <w:top w:val="single" w:sz="4" w:space="0" w:color="auto"/>
            </w:tcBorders>
          </w:tcPr>
          <w:p w:rsidR="00FB1B59" w:rsidRPr="007019C4" w:rsidRDefault="00FB1B59" w:rsidP="007019C4">
            <w:pPr>
              <w:spacing w:before="0"/>
              <w:rPr>
                <w:rFonts w:ascii="Arial" w:hAnsi="Arial"/>
                <w:b/>
                <w:sz w:val="22"/>
                <w:szCs w:val="22"/>
              </w:rPr>
            </w:pPr>
          </w:p>
        </w:tc>
        <w:tc>
          <w:tcPr>
            <w:tcW w:w="1090" w:type="dxa"/>
            <w:tcBorders>
              <w:top w:val="single" w:sz="4" w:space="0" w:color="auto"/>
            </w:tcBorders>
          </w:tcPr>
          <w:p w:rsidR="00FB1B59" w:rsidRPr="007019C4" w:rsidRDefault="00FB1B59" w:rsidP="007019C4">
            <w:pPr>
              <w:spacing w:before="0"/>
              <w:rPr>
                <w:rFonts w:ascii="Arial" w:hAnsi="Arial"/>
                <w:b/>
                <w:sz w:val="22"/>
                <w:szCs w:val="22"/>
              </w:rPr>
            </w:pPr>
          </w:p>
        </w:tc>
        <w:tc>
          <w:tcPr>
            <w:tcW w:w="1082" w:type="dxa"/>
            <w:tcBorders>
              <w:top w:val="single" w:sz="4" w:space="0" w:color="auto"/>
            </w:tcBorders>
          </w:tcPr>
          <w:p w:rsidR="00FB1B59" w:rsidRPr="007019C4" w:rsidRDefault="00FB1B59" w:rsidP="007019C4">
            <w:pPr>
              <w:spacing w:before="0"/>
              <w:rPr>
                <w:rFonts w:ascii="Arial" w:hAnsi="Arial"/>
                <w:b/>
                <w:sz w:val="22"/>
                <w:szCs w:val="22"/>
              </w:rPr>
            </w:pPr>
          </w:p>
        </w:tc>
      </w:tr>
      <w:tr w:rsidR="00FB1B59">
        <w:trPr>
          <w:trHeight w:val="648"/>
        </w:trPr>
        <w:tc>
          <w:tcPr>
            <w:tcW w:w="1088" w:type="dxa"/>
          </w:tcPr>
          <w:p w:rsidR="00FB1B59" w:rsidRPr="007019C4" w:rsidRDefault="00FB1B59" w:rsidP="007019C4">
            <w:pPr>
              <w:spacing w:before="0"/>
              <w:rPr>
                <w:rFonts w:ascii="Arial" w:hAnsi="Arial"/>
                <w:b/>
                <w:bCs/>
                <w:sz w:val="22"/>
                <w:szCs w:val="22"/>
              </w:rPr>
            </w:pPr>
          </w:p>
        </w:tc>
        <w:tc>
          <w:tcPr>
            <w:tcW w:w="2173" w:type="dxa"/>
            <w:gridSpan w:val="2"/>
            <w:shd w:val="clear" w:color="auto" w:fill="A7BFDE"/>
            <w:vAlign w:val="center"/>
          </w:tcPr>
          <w:p w:rsidR="00FB1B59" w:rsidRPr="007019C4" w:rsidRDefault="00FB1B59" w:rsidP="007019C4">
            <w:pPr>
              <w:spacing w:before="0"/>
              <w:jc w:val="center"/>
              <w:rPr>
                <w:rFonts w:ascii="Arial" w:hAnsi="Arial"/>
                <w:sz w:val="22"/>
                <w:szCs w:val="22"/>
              </w:rPr>
            </w:pPr>
            <w:r w:rsidRPr="007019C4">
              <w:rPr>
                <w:rFonts w:ascii="Arial" w:hAnsi="Arial"/>
                <w:sz w:val="22"/>
                <w:szCs w:val="22"/>
              </w:rPr>
              <w:t>Lock laser to cavity</w:t>
            </w:r>
          </w:p>
        </w:tc>
        <w:tc>
          <w:tcPr>
            <w:tcW w:w="1090" w:type="dxa"/>
          </w:tcPr>
          <w:p w:rsidR="00FB1B59" w:rsidRPr="007019C4" w:rsidRDefault="00FB1B59" w:rsidP="007019C4">
            <w:pPr>
              <w:spacing w:before="0"/>
              <w:jc w:val="center"/>
              <w:rPr>
                <w:rFonts w:ascii="Arial" w:hAnsi="Arial"/>
                <w:sz w:val="22"/>
                <w:szCs w:val="22"/>
              </w:rPr>
            </w:pPr>
          </w:p>
        </w:tc>
        <w:tc>
          <w:tcPr>
            <w:tcW w:w="1090" w:type="dxa"/>
          </w:tcPr>
          <w:p w:rsidR="00FB1B59" w:rsidRPr="007019C4" w:rsidRDefault="00FB1B59" w:rsidP="007019C4">
            <w:pPr>
              <w:spacing w:before="0"/>
              <w:jc w:val="center"/>
              <w:rPr>
                <w:rFonts w:ascii="Arial" w:hAnsi="Arial"/>
                <w:sz w:val="22"/>
                <w:szCs w:val="22"/>
              </w:rPr>
            </w:pPr>
          </w:p>
        </w:tc>
        <w:tc>
          <w:tcPr>
            <w:tcW w:w="1082" w:type="dxa"/>
          </w:tcPr>
          <w:p w:rsidR="00FB1B59" w:rsidRPr="007019C4" w:rsidRDefault="00FB1B59" w:rsidP="007019C4">
            <w:pPr>
              <w:spacing w:before="0"/>
              <w:jc w:val="center"/>
              <w:rPr>
                <w:rFonts w:ascii="Arial" w:hAnsi="Arial"/>
                <w:sz w:val="22"/>
                <w:szCs w:val="22"/>
              </w:rPr>
            </w:pPr>
          </w:p>
        </w:tc>
        <w:tc>
          <w:tcPr>
            <w:tcW w:w="1233" w:type="dxa"/>
          </w:tcPr>
          <w:p w:rsidR="00FB1B59" w:rsidRPr="007019C4" w:rsidRDefault="00FB1B59" w:rsidP="007019C4">
            <w:pPr>
              <w:spacing w:before="0"/>
              <w:jc w:val="center"/>
              <w:rPr>
                <w:rFonts w:ascii="Arial" w:hAnsi="Arial"/>
                <w:sz w:val="22"/>
                <w:szCs w:val="22"/>
              </w:rPr>
            </w:pPr>
          </w:p>
        </w:tc>
        <w:tc>
          <w:tcPr>
            <w:tcW w:w="1079" w:type="dxa"/>
          </w:tcPr>
          <w:p w:rsidR="00FB1B59" w:rsidRPr="007019C4" w:rsidRDefault="00FB1B59" w:rsidP="007019C4">
            <w:pPr>
              <w:spacing w:before="0"/>
              <w:jc w:val="center"/>
              <w:rPr>
                <w:rFonts w:ascii="Arial" w:hAnsi="Arial"/>
                <w:sz w:val="22"/>
                <w:szCs w:val="22"/>
              </w:rPr>
            </w:pPr>
          </w:p>
        </w:tc>
        <w:tc>
          <w:tcPr>
            <w:tcW w:w="1079" w:type="dxa"/>
          </w:tcPr>
          <w:p w:rsidR="00FB1B59" w:rsidRPr="007019C4" w:rsidRDefault="00FB1B59" w:rsidP="007019C4">
            <w:pPr>
              <w:spacing w:before="0"/>
              <w:jc w:val="center"/>
              <w:rPr>
                <w:rFonts w:ascii="Arial" w:hAnsi="Arial"/>
                <w:sz w:val="22"/>
                <w:szCs w:val="22"/>
              </w:rPr>
            </w:pPr>
          </w:p>
        </w:tc>
        <w:tc>
          <w:tcPr>
            <w:tcW w:w="1090" w:type="dxa"/>
          </w:tcPr>
          <w:p w:rsidR="00FB1B59" w:rsidRPr="007019C4" w:rsidRDefault="00FB1B59" w:rsidP="007019C4">
            <w:pPr>
              <w:spacing w:before="0"/>
              <w:jc w:val="center"/>
              <w:rPr>
                <w:rFonts w:ascii="Arial" w:hAnsi="Arial"/>
                <w:sz w:val="22"/>
                <w:szCs w:val="22"/>
              </w:rPr>
            </w:pPr>
          </w:p>
        </w:tc>
        <w:tc>
          <w:tcPr>
            <w:tcW w:w="1090" w:type="dxa"/>
          </w:tcPr>
          <w:p w:rsidR="00FB1B59" w:rsidRPr="007019C4" w:rsidRDefault="00FB1B59" w:rsidP="007019C4">
            <w:pPr>
              <w:spacing w:before="0"/>
              <w:jc w:val="center"/>
              <w:rPr>
                <w:rFonts w:ascii="Arial" w:hAnsi="Arial"/>
                <w:sz w:val="22"/>
                <w:szCs w:val="22"/>
              </w:rPr>
            </w:pPr>
          </w:p>
        </w:tc>
        <w:tc>
          <w:tcPr>
            <w:tcW w:w="1082" w:type="dxa"/>
          </w:tcPr>
          <w:p w:rsidR="00FB1B59" w:rsidRPr="007019C4" w:rsidRDefault="00FB1B59" w:rsidP="007019C4">
            <w:pPr>
              <w:spacing w:before="0"/>
              <w:jc w:val="center"/>
              <w:rPr>
                <w:rFonts w:ascii="Arial" w:hAnsi="Arial"/>
                <w:sz w:val="22"/>
                <w:szCs w:val="22"/>
              </w:rPr>
            </w:pPr>
          </w:p>
        </w:tc>
      </w:tr>
      <w:tr w:rsidR="00FB1B59">
        <w:trPr>
          <w:trHeight w:val="648"/>
        </w:trPr>
        <w:tc>
          <w:tcPr>
            <w:tcW w:w="1088" w:type="dxa"/>
          </w:tcPr>
          <w:p w:rsidR="00FB1B59" w:rsidRPr="007019C4" w:rsidRDefault="00FB1B59" w:rsidP="007019C4">
            <w:pPr>
              <w:spacing w:before="0"/>
              <w:rPr>
                <w:rFonts w:ascii="Arial" w:hAnsi="Arial"/>
                <w:b/>
                <w:bCs/>
                <w:sz w:val="22"/>
                <w:szCs w:val="22"/>
              </w:rPr>
            </w:pPr>
          </w:p>
        </w:tc>
        <w:tc>
          <w:tcPr>
            <w:tcW w:w="1079" w:type="dxa"/>
          </w:tcPr>
          <w:p w:rsidR="00FB1B59" w:rsidRPr="007019C4" w:rsidRDefault="00FB1B59" w:rsidP="007019C4">
            <w:pPr>
              <w:spacing w:before="0"/>
              <w:rPr>
                <w:rFonts w:ascii="Arial" w:hAnsi="Arial"/>
                <w:sz w:val="22"/>
                <w:szCs w:val="22"/>
              </w:rPr>
            </w:pPr>
          </w:p>
        </w:tc>
        <w:tc>
          <w:tcPr>
            <w:tcW w:w="11009" w:type="dxa"/>
            <w:gridSpan w:val="10"/>
            <w:shd w:val="clear" w:color="auto" w:fill="D3DFEE"/>
            <w:vAlign w:val="center"/>
          </w:tcPr>
          <w:p w:rsidR="00FB1B59" w:rsidRPr="007019C4" w:rsidRDefault="00FB1B59" w:rsidP="007019C4">
            <w:pPr>
              <w:spacing w:before="0"/>
              <w:jc w:val="center"/>
              <w:rPr>
                <w:rFonts w:ascii="Arial" w:hAnsi="Arial"/>
                <w:sz w:val="22"/>
                <w:szCs w:val="22"/>
              </w:rPr>
            </w:pPr>
            <w:r w:rsidRPr="007019C4">
              <w:rPr>
                <w:rFonts w:ascii="Arial" w:hAnsi="Arial"/>
                <w:sz w:val="22"/>
                <w:szCs w:val="22"/>
              </w:rPr>
              <w:t>Develop robust &amp; reliable locking, study alignment stability</w:t>
            </w:r>
          </w:p>
        </w:tc>
      </w:tr>
      <w:tr w:rsidR="00FB1B59">
        <w:trPr>
          <w:trHeight w:val="648"/>
        </w:trPr>
        <w:tc>
          <w:tcPr>
            <w:tcW w:w="1088" w:type="dxa"/>
          </w:tcPr>
          <w:p w:rsidR="00FB1B59" w:rsidRPr="007019C4" w:rsidRDefault="00FB1B59" w:rsidP="007019C4">
            <w:pPr>
              <w:spacing w:before="0"/>
              <w:rPr>
                <w:rFonts w:ascii="Arial" w:hAnsi="Arial"/>
                <w:b/>
                <w:bCs/>
                <w:sz w:val="22"/>
                <w:szCs w:val="22"/>
              </w:rPr>
            </w:pPr>
          </w:p>
        </w:tc>
        <w:tc>
          <w:tcPr>
            <w:tcW w:w="1079" w:type="dxa"/>
          </w:tcPr>
          <w:p w:rsidR="00FB1B59" w:rsidRPr="007019C4" w:rsidRDefault="00FB1B59" w:rsidP="007019C4">
            <w:pPr>
              <w:spacing w:before="0"/>
              <w:rPr>
                <w:rFonts w:ascii="Arial" w:hAnsi="Arial"/>
                <w:sz w:val="22"/>
                <w:szCs w:val="22"/>
              </w:rPr>
            </w:pPr>
          </w:p>
        </w:tc>
        <w:tc>
          <w:tcPr>
            <w:tcW w:w="1094" w:type="dxa"/>
            <w:vAlign w:val="center"/>
          </w:tcPr>
          <w:p w:rsidR="00FB1B59" w:rsidRPr="007019C4" w:rsidRDefault="00FB1B59" w:rsidP="007019C4">
            <w:pPr>
              <w:spacing w:before="0"/>
              <w:jc w:val="center"/>
              <w:rPr>
                <w:rFonts w:ascii="Arial" w:hAnsi="Arial"/>
                <w:sz w:val="22"/>
                <w:szCs w:val="22"/>
              </w:rPr>
            </w:pPr>
          </w:p>
        </w:tc>
        <w:tc>
          <w:tcPr>
            <w:tcW w:w="9915" w:type="dxa"/>
            <w:gridSpan w:val="9"/>
            <w:shd w:val="clear" w:color="auto" w:fill="A7BFDE"/>
            <w:vAlign w:val="center"/>
          </w:tcPr>
          <w:p w:rsidR="00FB1B59" w:rsidRPr="007019C4" w:rsidRDefault="00FB1B59" w:rsidP="007019C4">
            <w:pPr>
              <w:spacing w:before="0"/>
              <w:jc w:val="center"/>
              <w:rPr>
                <w:rFonts w:ascii="Arial" w:hAnsi="Arial"/>
                <w:sz w:val="22"/>
                <w:szCs w:val="22"/>
              </w:rPr>
            </w:pPr>
            <w:r w:rsidRPr="007019C4">
              <w:rPr>
                <w:rFonts w:ascii="Arial" w:hAnsi="Arial"/>
                <w:sz w:val="22"/>
                <w:szCs w:val="22"/>
              </w:rPr>
              <w:t>Low frequency seismic isolation investigations</w:t>
            </w:r>
          </w:p>
        </w:tc>
      </w:tr>
      <w:tr w:rsidR="00FB1B59">
        <w:trPr>
          <w:trHeight w:val="720"/>
        </w:trPr>
        <w:tc>
          <w:tcPr>
            <w:tcW w:w="1088" w:type="dxa"/>
          </w:tcPr>
          <w:p w:rsidR="00FB1B59" w:rsidRPr="007019C4" w:rsidRDefault="00FB1B59" w:rsidP="007019C4">
            <w:pPr>
              <w:spacing w:before="0"/>
              <w:rPr>
                <w:rFonts w:ascii="Arial" w:hAnsi="Arial"/>
                <w:b/>
                <w:bCs/>
                <w:sz w:val="22"/>
                <w:szCs w:val="22"/>
              </w:rPr>
            </w:pPr>
          </w:p>
        </w:tc>
        <w:tc>
          <w:tcPr>
            <w:tcW w:w="1079" w:type="dxa"/>
          </w:tcPr>
          <w:p w:rsidR="00FB1B59" w:rsidRPr="007019C4" w:rsidRDefault="00FB1B59" w:rsidP="007019C4">
            <w:pPr>
              <w:spacing w:before="0"/>
              <w:rPr>
                <w:rFonts w:ascii="Arial" w:hAnsi="Arial"/>
                <w:sz w:val="22"/>
                <w:szCs w:val="22"/>
              </w:rPr>
            </w:pPr>
          </w:p>
        </w:tc>
        <w:tc>
          <w:tcPr>
            <w:tcW w:w="1094"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3405" w:type="dxa"/>
            <w:gridSpan w:val="3"/>
            <w:shd w:val="clear" w:color="auto" w:fill="D3DFEE"/>
            <w:vAlign w:val="center"/>
          </w:tcPr>
          <w:p w:rsidR="00FB1B59" w:rsidRPr="007019C4" w:rsidRDefault="00FB1B59" w:rsidP="007019C4">
            <w:pPr>
              <w:spacing w:before="0"/>
              <w:jc w:val="center"/>
              <w:rPr>
                <w:rFonts w:ascii="Arial" w:hAnsi="Arial"/>
                <w:sz w:val="22"/>
                <w:szCs w:val="22"/>
              </w:rPr>
            </w:pPr>
            <w:r w:rsidRPr="007019C4">
              <w:rPr>
                <w:rFonts w:ascii="Arial" w:hAnsi="Arial"/>
                <w:sz w:val="22"/>
                <w:szCs w:val="22"/>
              </w:rPr>
              <w:t>Implement active beam pointing control</w:t>
            </w:r>
          </w:p>
        </w:tc>
        <w:tc>
          <w:tcPr>
            <w:tcW w:w="1079" w:type="dxa"/>
            <w:vAlign w:val="center"/>
          </w:tcPr>
          <w:p w:rsidR="00FB1B59" w:rsidRPr="007019C4" w:rsidRDefault="00FB1B59" w:rsidP="007019C4">
            <w:pPr>
              <w:spacing w:before="0"/>
              <w:jc w:val="center"/>
              <w:rPr>
                <w:rFonts w:ascii="Arial" w:hAnsi="Arial"/>
                <w:sz w:val="22"/>
                <w:szCs w:val="22"/>
              </w:rPr>
            </w:pPr>
          </w:p>
        </w:tc>
        <w:tc>
          <w:tcPr>
            <w:tcW w:w="1079"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82" w:type="dxa"/>
            <w:vAlign w:val="center"/>
          </w:tcPr>
          <w:p w:rsidR="00FB1B59" w:rsidRPr="007019C4" w:rsidRDefault="00FB1B59" w:rsidP="007019C4">
            <w:pPr>
              <w:spacing w:before="0"/>
              <w:jc w:val="center"/>
              <w:rPr>
                <w:rFonts w:ascii="Arial" w:hAnsi="Arial"/>
                <w:sz w:val="22"/>
                <w:szCs w:val="22"/>
              </w:rPr>
            </w:pPr>
          </w:p>
        </w:tc>
      </w:tr>
      <w:tr w:rsidR="00FB1B59">
        <w:trPr>
          <w:trHeight w:val="720"/>
        </w:trPr>
        <w:tc>
          <w:tcPr>
            <w:tcW w:w="1088" w:type="dxa"/>
          </w:tcPr>
          <w:p w:rsidR="00FB1B59" w:rsidRPr="007019C4" w:rsidRDefault="00FB1B59" w:rsidP="007019C4">
            <w:pPr>
              <w:spacing w:before="0"/>
              <w:rPr>
                <w:rFonts w:ascii="Arial" w:hAnsi="Arial"/>
                <w:b/>
                <w:bCs/>
                <w:sz w:val="22"/>
                <w:szCs w:val="22"/>
              </w:rPr>
            </w:pPr>
          </w:p>
        </w:tc>
        <w:tc>
          <w:tcPr>
            <w:tcW w:w="1079" w:type="dxa"/>
          </w:tcPr>
          <w:p w:rsidR="00FB1B59" w:rsidRPr="007019C4" w:rsidRDefault="00FB1B59" w:rsidP="007019C4">
            <w:pPr>
              <w:spacing w:before="0"/>
              <w:rPr>
                <w:rFonts w:ascii="Arial" w:hAnsi="Arial"/>
                <w:sz w:val="22"/>
                <w:szCs w:val="22"/>
              </w:rPr>
            </w:pPr>
          </w:p>
        </w:tc>
        <w:tc>
          <w:tcPr>
            <w:tcW w:w="1094" w:type="dxa"/>
            <w:shd w:val="clear" w:color="auto" w:fill="A7BFDE"/>
            <w:vAlign w:val="center"/>
          </w:tcPr>
          <w:p w:rsidR="00FB1B59" w:rsidRPr="007019C4" w:rsidRDefault="00FB1B59" w:rsidP="007019C4">
            <w:pPr>
              <w:spacing w:before="0"/>
              <w:jc w:val="center"/>
              <w:rPr>
                <w:rFonts w:ascii="Arial" w:hAnsi="Arial"/>
                <w:sz w:val="22"/>
                <w:szCs w:val="22"/>
              </w:rPr>
            </w:pPr>
            <w:r w:rsidRPr="007019C4">
              <w:rPr>
                <w:rFonts w:ascii="Arial" w:hAnsi="Arial"/>
                <w:sz w:val="22"/>
                <w:szCs w:val="22"/>
              </w:rPr>
              <w:t>SUS actuator testing</w:t>
            </w:r>
          </w:p>
        </w:tc>
        <w:tc>
          <w:tcPr>
            <w:tcW w:w="1090"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82" w:type="dxa"/>
            <w:vAlign w:val="center"/>
          </w:tcPr>
          <w:p w:rsidR="00FB1B59" w:rsidRPr="007019C4" w:rsidRDefault="00FB1B59" w:rsidP="007019C4">
            <w:pPr>
              <w:spacing w:before="0"/>
              <w:jc w:val="center"/>
              <w:rPr>
                <w:rFonts w:ascii="Arial" w:hAnsi="Arial"/>
                <w:sz w:val="22"/>
                <w:szCs w:val="22"/>
              </w:rPr>
            </w:pPr>
          </w:p>
        </w:tc>
        <w:tc>
          <w:tcPr>
            <w:tcW w:w="1233" w:type="dxa"/>
            <w:vAlign w:val="center"/>
          </w:tcPr>
          <w:p w:rsidR="00FB1B59" w:rsidRPr="007019C4" w:rsidRDefault="00FB1B59" w:rsidP="007019C4">
            <w:pPr>
              <w:spacing w:before="0"/>
              <w:jc w:val="center"/>
              <w:rPr>
                <w:rFonts w:ascii="Arial" w:hAnsi="Arial"/>
                <w:sz w:val="22"/>
                <w:szCs w:val="22"/>
              </w:rPr>
            </w:pPr>
          </w:p>
        </w:tc>
        <w:tc>
          <w:tcPr>
            <w:tcW w:w="1079" w:type="dxa"/>
            <w:vAlign w:val="center"/>
          </w:tcPr>
          <w:p w:rsidR="00FB1B59" w:rsidRPr="007019C4" w:rsidRDefault="00FB1B59" w:rsidP="007019C4">
            <w:pPr>
              <w:spacing w:before="0"/>
              <w:jc w:val="center"/>
              <w:rPr>
                <w:rFonts w:ascii="Arial" w:hAnsi="Arial"/>
                <w:sz w:val="22"/>
                <w:szCs w:val="22"/>
              </w:rPr>
            </w:pPr>
          </w:p>
        </w:tc>
        <w:tc>
          <w:tcPr>
            <w:tcW w:w="1079"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82" w:type="dxa"/>
            <w:vAlign w:val="center"/>
          </w:tcPr>
          <w:p w:rsidR="00FB1B59" w:rsidRPr="007019C4" w:rsidRDefault="00FB1B59" w:rsidP="007019C4">
            <w:pPr>
              <w:spacing w:before="0"/>
              <w:jc w:val="center"/>
              <w:rPr>
                <w:rFonts w:ascii="Arial" w:hAnsi="Arial"/>
                <w:sz w:val="22"/>
                <w:szCs w:val="22"/>
              </w:rPr>
            </w:pPr>
          </w:p>
        </w:tc>
      </w:tr>
      <w:tr w:rsidR="00FB1B59">
        <w:trPr>
          <w:trHeight w:val="648"/>
        </w:trPr>
        <w:tc>
          <w:tcPr>
            <w:tcW w:w="1088" w:type="dxa"/>
          </w:tcPr>
          <w:p w:rsidR="00FB1B59" w:rsidRPr="007019C4" w:rsidRDefault="00FB1B59" w:rsidP="007019C4">
            <w:pPr>
              <w:spacing w:before="0"/>
              <w:rPr>
                <w:rFonts w:ascii="Arial" w:hAnsi="Arial"/>
                <w:b/>
                <w:bCs/>
                <w:sz w:val="22"/>
                <w:szCs w:val="22"/>
              </w:rPr>
            </w:pPr>
          </w:p>
        </w:tc>
        <w:tc>
          <w:tcPr>
            <w:tcW w:w="1079" w:type="dxa"/>
          </w:tcPr>
          <w:p w:rsidR="00FB1B59" w:rsidRPr="007019C4" w:rsidRDefault="00FB1B59" w:rsidP="007019C4">
            <w:pPr>
              <w:spacing w:before="0"/>
              <w:rPr>
                <w:rFonts w:ascii="Arial" w:hAnsi="Arial"/>
                <w:sz w:val="22"/>
                <w:szCs w:val="22"/>
              </w:rPr>
            </w:pPr>
          </w:p>
        </w:tc>
        <w:tc>
          <w:tcPr>
            <w:tcW w:w="1094" w:type="dxa"/>
            <w:vAlign w:val="center"/>
          </w:tcPr>
          <w:p w:rsidR="00FB1B59" w:rsidRPr="007019C4" w:rsidRDefault="00FB1B59" w:rsidP="007019C4">
            <w:pPr>
              <w:spacing w:before="0"/>
              <w:jc w:val="center"/>
              <w:rPr>
                <w:rFonts w:ascii="Arial" w:hAnsi="Arial"/>
                <w:sz w:val="22"/>
                <w:szCs w:val="22"/>
              </w:rPr>
            </w:pPr>
          </w:p>
        </w:tc>
        <w:tc>
          <w:tcPr>
            <w:tcW w:w="2180" w:type="dxa"/>
            <w:gridSpan w:val="2"/>
            <w:shd w:val="clear" w:color="auto" w:fill="D3DFEE"/>
            <w:vAlign w:val="center"/>
          </w:tcPr>
          <w:p w:rsidR="00FB1B59" w:rsidRPr="007019C4" w:rsidRDefault="00FB1B59" w:rsidP="007019C4">
            <w:pPr>
              <w:spacing w:before="0"/>
              <w:jc w:val="center"/>
              <w:rPr>
                <w:rFonts w:ascii="Arial" w:hAnsi="Arial"/>
                <w:sz w:val="22"/>
                <w:szCs w:val="22"/>
              </w:rPr>
            </w:pPr>
            <w:r w:rsidRPr="007019C4">
              <w:rPr>
                <w:rFonts w:ascii="Arial" w:hAnsi="Arial"/>
                <w:sz w:val="22"/>
                <w:szCs w:val="22"/>
              </w:rPr>
              <w:t>ISI performance tuning</w:t>
            </w:r>
          </w:p>
        </w:tc>
        <w:tc>
          <w:tcPr>
            <w:tcW w:w="1082" w:type="dxa"/>
            <w:vAlign w:val="center"/>
          </w:tcPr>
          <w:p w:rsidR="00FB1B59" w:rsidRPr="007019C4" w:rsidRDefault="00FB1B59" w:rsidP="007019C4">
            <w:pPr>
              <w:spacing w:before="0"/>
              <w:jc w:val="center"/>
              <w:rPr>
                <w:rFonts w:ascii="Arial" w:hAnsi="Arial"/>
                <w:sz w:val="22"/>
                <w:szCs w:val="22"/>
              </w:rPr>
            </w:pPr>
          </w:p>
        </w:tc>
        <w:tc>
          <w:tcPr>
            <w:tcW w:w="1233" w:type="dxa"/>
            <w:vAlign w:val="center"/>
          </w:tcPr>
          <w:p w:rsidR="00FB1B59" w:rsidRPr="007019C4" w:rsidRDefault="00FB1B59" w:rsidP="007019C4">
            <w:pPr>
              <w:spacing w:before="0"/>
              <w:jc w:val="center"/>
              <w:rPr>
                <w:rFonts w:ascii="Arial" w:hAnsi="Arial"/>
                <w:sz w:val="22"/>
                <w:szCs w:val="22"/>
              </w:rPr>
            </w:pPr>
          </w:p>
        </w:tc>
        <w:tc>
          <w:tcPr>
            <w:tcW w:w="1079" w:type="dxa"/>
            <w:vAlign w:val="center"/>
          </w:tcPr>
          <w:p w:rsidR="00FB1B59" w:rsidRPr="007019C4" w:rsidRDefault="00FB1B59" w:rsidP="007019C4">
            <w:pPr>
              <w:spacing w:before="0"/>
              <w:jc w:val="center"/>
              <w:rPr>
                <w:rFonts w:ascii="Arial" w:hAnsi="Arial"/>
                <w:sz w:val="22"/>
                <w:szCs w:val="22"/>
              </w:rPr>
            </w:pPr>
          </w:p>
        </w:tc>
        <w:tc>
          <w:tcPr>
            <w:tcW w:w="1079" w:type="dxa"/>
            <w:vAlign w:val="center"/>
          </w:tcPr>
          <w:p w:rsidR="00FB1B59" w:rsidRPr="007019C4" w:rsidRDefault="00FB1B59" w:rsidP="007019C4">
            <w:pPr>
              <w:spacing w:before="0"/>
              <w:jc w:val="center"/>
              <w:rPr>
                <w:rFonts w:ascii="Arial" w:hAnsi="Arial"/>
                <w:sz w:val="22"/>
                <w:szCs w:val="22"/>
              </w:rPr>
            </w:pPr>
          </w:p>
        </w:tc>
        <w:tc>
          <w:tcPr>
            <w:tcW w:w="2180" w:type="dxa"/>
            <w:gridSpan w:val="2"/>
            <w:shd w:val="clear" w:color="auto" w:fill="D3DFEE"/>
            <w:vAlign w:val="center"/>
          </w:tcPr>
          <w:p w:rsidR="00FB1B59" w:rsidRPr="007019C4" w:rsidRDefault="00FB1B59" w:rsidP="007019C4">
            <w:pPr>
              <w:spacing w:before="0"/>
              <w:jc w:val="center"/>
              <w:rPr>
                <w:rFonts w:ascii="Arial" w:hAnsi="Arial"/>
                <w:sz w:val="22"/>
                <w:szCs w:val="22"/>
              </w:rPr>
            </w:pPr>
            <w:r w:rsidRPr="007019C4">
              <w:rPr>
                <w:rFonts w:ascii="Arial" w:hAnsi="Arial"/>
                <w:sz w:val="22"/>
                <w:szCs w:val="22"/>
              </w:rPr>
              <w:t>ISI performance tuning</w:t>
            </w:r>
          </w:p>
        </w:tc>
        <w:tc>
          <w:tcPr>
            <w:tcW w:w="1082" w:type="dxa"/>
            <w:vAlign w:val="center"/>
          </w:tcPr>
          <w:p w:rsidR="00FB1B59" w:rsidRPr="007019C4" w:rsidRDefault="00FB1B59" w:rsidP="007019C4">
            <w:pPr>
              <w:spacing w:before="0"/>
              <w:jc w:val="center"/>
              <w:rPr>
                <w:rFonts w:ascii="Arial" w:hAnsi="Arial"/>
                <w:sz w:val="22"/>
                <w:szCs w:val="22"/>
              </w:rPr>
            </w:pPr>
          </w:p>
        </w:tc>
      </w:tr>
      <w:tr w:rsidR="00FB1B59">
        <w:trPr>
          <w:trHeight w:val="648"/>
        </w:trPr>
        <w:tc>
          <w:tcPr>
            <w:tcW w:w="1088" w:type="dxa"/>
          </w:tcPr>
          <w:p w:rsidR="00FB1B59" w:rsidRPr="007019C4" w:rsidRDefault="00FB1B59" w:rsidP="007019C4">
            <w:pPr>
              <w:spacing w:before="0"/>
              <w:rPr>
                <w:rFonts w:ascii="Arial" w:hAnsi="Arial"/>
                <w:b/>
                <w:bCs/>
                <w:sz w:val="22"/>
                <w:szCs w:val="22"/>
              </w:rPr>
            </w:pPr>
          </w:p>
        </w:tc>
        <w:tc>
          <w:tcPr>
            <w:tcW w:w="1079" w:type="dxa"/>
          </w:tcPr>
          <w:p w:rsidR="00FB1B59" w:rsidRPr="007019C4" w:rsidRDefault="00FB1B59" w:rsidP="007019C4">
            <w:pPr>
              <w:spacing w:before="0"/>
              <w:rPr>
                <w:rFonts w:ascii="Arial" w:hAnsi="Arial"/>
                <w:sz w:val="22"/>
                <w:szCs w:val="22"/>
              </w:rPr>
            </w:pPr>
          </w:p>
        </w:tc>
        <w:tc>
          <w:tcPr>
            <w:tcW w:w="1094"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2315" w:type="dxa"/>
            <w:gridSpan w:val="2"/>
            <w:shd w:val="clear" w:color="auto" w:fill="A2BFDE"/>
            <w:vAlign w:val="center"/>
          </w:tcPr>
          <w:p w:rsidR="00FB1B59" w:rsidRPr="007019C4" w:rsidRDefault="00FB1B59" w:rsidP="007019C4">
            <w:pPr>
              <w:spacing w:before="0"/>
              <w:jc w:val="center"/>
              <w:rPr>
                <w:rFonts w:ascii="Arial" w:hAnsi="Arial"/>
                <w:sz w:val="22"/>
                <w:szCs w:val="22"/>
              </w:rPr>
            </w:pPr>
            <w:r w:rsidRPr="007019C4">
              <w:rPr>
                <w:rFonts w:ascii="Arial" w:hAnsi="Arial"/>
                <w:sz w:val="22"/>
                <w:szCs w:val="22"/>
              </w:rPr>
              <w:t>SUS damping optimization</w:t>
            </w:r>
          </w:p>
        </w:tc>
        <w:tc>
          <w:tcPr>
            <w:tcW w:w="2158" w:type="dxa"/>
            <w:gridSpan w:val="2"/>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82" w:type="dxa"/>
            <w:vAlign w:val="center"/>
          </w:tcPr>
          <w:p w:rsidR="00FB1B59" w:rsidRPr="007019C4" w:rsidRDefault="00FB1B59" w:rsidP="007019C4">
            <w:pPr>
              <w:spacing w:before="0"/>
              <w:jc w:val="center"/>
              <w:rPr>
                <w:rFonts w:ascii="Arial" w:hAnsi="Arial"/>
                <w:sz w:val="22"/>
                <w:szCs w:val="22"/>
              </w:rPr>
            </w:pPr>
          </w:p>
        </w:tc>
      </w:tr>
      <w:tr w:rsidR="00FB1B59">
        <w:trPr>
          <w:trHeight w:val="648"/>
        </w:trPr>
        <w:tc>
          <w:tcPr>
            <w:tcW w:w="1088" w:type="dxa"/>
          </w:tcPr>
          <w:p w:rsidR="00FB1B59" w:rsidRPr="007019C4" w:rsidRDefault="00FB1B59" w:rsidP="007019C4">
            <w:pPr>
              <w:spacing w:before="0"/>
              <w:rPr>
                <w:rFonts w:ascii="Arial" w:hAnsi="Arial"/>
                <w:b/>
                <w:bCs/>
                <w:sz w:val="22"/>
                <w:szCs w:val="22"/>
              </w:rPr>
            </w:pPr>
          </w:p>
        </w:tc>
        <w:tc>
          <w:tcPr>
            <w:tcW w:w="1079" w:type="dxa"/>
          </w:tcPr>
          <w:p w:rsidR="00FB1B59" w:rsidRPr="007019C4" w:rsidRDefault="00FB1B59" w:rsidP="007019C4">
            <w:pPr>
              <w:spacing w:before="0"/>
              <w:rPr>
                <w:rFonts w:ascii="Arial" w:hAnsi="Arial"/>
                <w:sz w:val="22"/>
                <w:szCs w:val="22"/>
              </w:rPr>
            </w:pPr>
          </w:p>
        </w:tc>
        <w:tc>
          <w:tcPr>
            <w:tcW w:w="1094"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82" w:type="dxa"/>
            <w:vAlign w:val="center"/>
          </w:tcPr>
          <w:p w:rsidR="00FB1B59" w:rsidRPr="007019C4" w:rsidRDefault="00FB1B59" w:rsidP="007019C4">
            <w:pPr>
              <w:spacing w:before="0"/>
              <w:jc w:val="center"/>
              <w:rPr>
                <w:rFonts w:ascii="Arial" w:hAnsi="Arial"/>
                <w:sz w:val="22"/>
                <w:szCs w:val="22"/>
              </w:rPr>
            </w:pPr>
          </w:p>
        </w:tc>
        <w:tc>
          <w:tcPr>
            <w:tcW w:w="2312" w:type="dxa"/>
            <w:gridSpan w:val="2"/>
            <w:shd w:val="clear" w:color="auto" w:fill="D3DFEE"/>
            <w:vAlign w:val="center"/>
          </w:tcPr>
          <w:p w:rsidR="00FB1B59" w:rsidRPr="007019C4" w:rsidRDefault="00FB1B59" w:rsidP="007019C4">
            <w:pPr>
              <w:spacing w:before="0"/>
              <w:jc w:val="center"/>
              <w:rPr>
                <w:rFonts w:ascii="Arial" w:hAnsi="Arial"/>
                <w:sz w:val="22"/>
                <w:szCs w:val="22"/>
              </w:rPr>
            </w:pPr>
            <w:r w:rsidRPr="007019C4">
              <w:rPr>
                <w:rFonts w:ascii="Arial" w:hAnsi="Arial"/>
                <w:sz w:val="22"/>
                <w:szCs w:val="22"/>
              </w:rPr>
              <w:t>Ring heater tests</w:t>
            </w:r>
          </w:p>
        </w:tc>
        <w:tc>
          <w:tcPr>
            <w:tcW w:w="1079"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82" w:type="dxa"/>
            <w:vAlign w:val="center"/>
          </w:tcPr>
          <w:p w:rsidR="00FB1B59" w:rsidRPr="007019C4" w:rsidRDefault="00FB1B59" w:rsidP="007019C4">
            <w:pPr>
              <w:spacing w:before="0"/>
              <w:jc w:val="center"/>
              <w:rPr>
                <w:rFonts w:ascii="Arial" w:hAnsi="Arial"/>
                <w:sz w:val="22"/>
                <w:szCs w:val="22"/>
              </w:rPr>
            </w:pPr>
          </w:p>
        </w:tc>
      </w:tr>
      <w:tr w:rsidR="00FB1B59">
        <w:trPr>
          <w:trHeight w:val="648"/>
        </w:trPr>
        <w:tc>
          <w:tcPr>
            <w:tcW w:w="1088" w:type="dxa"/>
          </w:tcPr>
          <w:p w:rsidR="00FB1B59" w:rsidRPr="007019C4" w:rsidRDefault="00FB1B59" w:rsidP="007019C4">
            <w:pPr>
              <w:spacing w:before="0"/>
              <w:rPr>
                <w:rFonts w:ascii="Arial" w:hAnsi="Arial"/>
                <w:b/>
                <w:bCs/>
                <w:sz w:val="22"/>
                <w:szCs w:val="22"/>
              </w:rPr>
            </w:pPr>
          </w:p>
        </w:tc>
        <w:tc>
          <w:tcPr>
            <w:tcW w:w="1079" w:type="dxa"/>
          </w:tcPr>
          <w:p w:rsidR="00FB1B59" w:rsidRPr="007019C4" w:rsidRDefault="00FB1B59" w:rsidP="007019C4">
            <w:pPr>
              <w:spacing w:before="0"/>
              <w:rPr>
                <w:rFonts w:ascii="Arial" w:hAnsi="Arial"/>
                <w:sz w:val="22"/>
                <w:szCs w:val="22"/>
              </w:rPr>
            </w:pPr>
          </w:p>
        </w:tc>
        <w:tc>
          <w:tcPr>
            <w:tcW w:w="1094"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82" w:type="dxa"/>
            <w:vAlign w:val="center"/>
          </w:tcPr>
          <w:p w:rsidR="00FB1B59" w:rsidRPr="007019C4" w:rsidRDefault="00FB1B59" w:rsidP="007019C4">
            <w:pPr>
              <w:spacing w:before="0"/>
              <w:jc w:val="center"/>
              <w:rPr>
                <w:rFonts w:ascii="Arial" w:hAnsi="Arial"/>
                <w:sz w:val="22"/>
                <w:szCs w:val="22"/>
              </w:rPr>
            </w:pPr>
          </w:p>
        </w:tc>
        <w:tc>
          <w:tcPr>
            <w:tcW w:w="1233" w:type="dxa"/>
            <w:vAlign w:val="center"/>
          </w:tcPr>
          <w:p w:rsidR="00FB1B59" w:rsidRPr="007019C4" w:rsidRDefault="00FB1B59" w:rsidP="007019C4">
            <w:pPr>
              <w:spacing w:before="0"/>
              <w:jc w:val="center"/>
              <w:rPr>
                <w:rFonts w:ascii="Arial" w:hAnsi="Arial"/>
                <w:sz w:val="22"/>
                <w:szCs w:val="22"/>
              </w:rPr>
            </w:pPr>
          </w:p>
        </w:tc>
        <w:tc>
          <w:tcPr>
            <w:tcW w:w="2158" w:type="dxa"/>
            <w:gridSpan w:val="2"/>
            <w:shd w:val="clear" w:color="auto" w:fill="A7BFDE"/>
            <w:vAlign w:val="center"/>
          </w:tcPr>
          <w:p w:rsidR="00FB1B59" w:rsidRPr="007019C4" w:rsidRDefault="00FB1B59" w:rsidP="007019C4">
            <w:pPr>
              <w:spacing w:before="0"/>
              <w:jc w:val="center"/>
              <w:rPr>
                <w:rFonts w:ascii="Arial" w:hAnsi="Arial"/>
                <w:sz w:val="22"/>
                <w:szCs w:val="22"/>
              </w:rPr>
            </w:pPr>
            <w:r w:rsidRPr="007019C4">
              <w:rPr>
                <w:rFonts w:ascii="Arial" w:hAnsi="Arial"/>
                <w:sz w:val="22"/>
                <w:szCs w:val="22"/>
              </w:rPr>
              <w:t>Q measurements</w:t>
            </w:r>
          </w:p>
        </w:tc>
        <w:tc>
          <w:tcPr>
            <w:tcW w:w="1090"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82" w:type="dxa"/>
            <w:vAlign w:val="center"/>
          </w:tcPr>
          <w:p w:rsidR="00FB1B59" w:rsidRPr="007019C4" w:rsidRDefault="00FB1B59" w:rsidP="007019C4">
            <w:pPr>
              <w:spacing w:before="0"/>
              <w:jc w:val="center"/>
              <w:rPr>
                <w:rFonts w:ascii="Arial" w:hAnsi="Arial"/>
                <w:sz w:val="22"/>
                <w:szCs w:val="22"/>
              </w:rPr>
            </w:pPr>
          </w:p>
        </w:tc>
      </w:tr>
      <w:tr w:rsidR="00FB1B59">
        <w:trPr>
          <w:trHeight w:val="648"/>
        </w:trPr>
        <w:tc>
          <w:tcPr>
            <w:tcW w:w="1088" w:type="dxa"/>
          </w:tcPr>
          <w:p w:rsidR="00FB1B59" w:rsidRPr="007019C4" w:rsidRDefault="00FB1B59" w:rsidP="007019C4">
            <w:pPr>
              <w:spacing w:before="0"/>
              <w:rPr>
                <w:rFonts w:ascii="Arial" w:hAnsi="Arial"/>
                <w:b/>
                <w:bCs/>
                <w:sz w:val="22"/>
                <w:szCs w:val="22"/>
              </w:rPr>
            </w:pPr>
          </w:p>
        </w:tc>
        <w:tc>
          <w:tcPr>
            <w:tcW w:w="1079" w:type="dxa"/>
          </w:tcPr>
          <w:p w:rsidR="00FB1B59" w:rsidRPr="007019C4" w:rsidRDefault="00FB1B59" w:rsidP="007019C4">
            <w:pPr>
              <w:spacing w:before="0"/>
              <w:rPr>
                <w:rFonts w:ascii="Arial" w:hAnsi="Arial"/>
                <w:sz w:val="22"/>
                <w:szCs w:val="22"/>
              </w:rPr>
            </w:pPr>
          </w:p>
        </w:tc>
        <w:tc>
          <w:tcPr>
            <w:tcW w:w="1094"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82" w:type="dxa"/>
            <w:vAlign w:val="center"/>
          </w:tcPr>
          <w:p w:rsidR="00FB1B59" w:rsidRPr="007019C4" w:rsidRDefault="00FB1B59" w:rsidP="007019C4">
            <w:pPr>
              <w:spacing w:before="0"/>
              <w:jc w:val="center"/>
              <w:rPr>
                <w:rFonts w:ascii="Arial" w:hAnsi="Arial"/>
                <w:sz w:val="22"/>
                <w:szCs w:val="22"/>
              </w:rPr>
            </w:pPr>
          </w:p>
        </w:tc>
        <w:tc>
          <w:tcPr>
            <w:tcW w:w="1233" w:type="dxa"/>
            <w:vAlign w:val="center"/>
          </w:tcPr>
          <w:p w:rsidR="00FB1B59" w:rsidRPr="007019C4" w:rsidRDefault="00FB1B59" w:rsidP="007019C4">
            <w:pPr>
              <w:spacing w:before="0"/>
              <w:jc w:val="center"/>
              <w:rPr>
                <w:rFonts w:ascii="Arial" w:hAnsi="Arial"/>
                <w:sz w:val="22"/>
                <w:szCs w:val="22"/>
              </w:rPr>
            </w:pPr>
          </w:p>
        </w:tc>
        <w:tc>
          <w:tcPr>
            <w:tcW w:w="1079" w:type="dxa"/>
            <w:vAlign w:val="center"/>
          </w:tcPr>
          <w:p w:rsidR="00FB1B59" w:rsidRPr="007019C4" w:rsidRDefault="00FB1B59" w:rsidP="007019C4">
            <w:pPr>
              <w:spacing w:before="0"/>
              <w:jc w:val="center"/>
              <w:rPr>
                <w:rFonts w:ascii="Arial" w:hAnsi="Arial"/>
                <w:sz w:val="22"/>
                <w:szCs w:val="22"/>
              </w:rPr>
            </w:pPr>
          </w:p>
        </w:tc>
        <w:tc>
          <w:tcPr>
            <w:tcW w:w="1079" w:type="dxa"/>
            <w:vAlign w:val="center"/>
          </w:tcPr>
          <w:p w:rsidR="00FB1B59" w:rsidRPr="007019C4" w:rsidRDefault="00FB1B59" w:rsidP="007019C4">
            <w:pPr>
              <w:spacing w:before="0"/>
              <w:jc w:val="center"/>
              <w:rPr>
                <w:rFonts w:ascii="Arial" w:hAnsi="Arial"/>
                <w:sz w:val="22"/>
                <w:szCs w:val="22"/>
              </w:rPr>
            </w:pPr>
          </w:p>
        </w:tc>
        <w:tc>
          <w:tcPr>
            <w:tcW w:w="1090" w:type="dxa"/>
            <w:shd w:val="clear" w:color="auto" w:fill="D3DFEE"/>
            <w:vAlign w:val="center"/>
          </w:tcPr>
          <w:p w:rsidR="00FB1B59" w:rsidRPr="007019C4" w:rsidRDefault="00FB1B59" w:rsidP="007019C4">
            <w:pPr>
              <w:spacing w:before="0"/>
              <w:jc w:val="center"/>
              <w:rPr>
                <w:rFonts w:ascii="Arial" w:hAnsi="Arial"/>
                <w:sz w:val="22"/>
                <w:szCs w:val="22"/>
              </w:rPr>
            </w:pPr>
            <w:r w:rsidRPr="007019C4">
              <w:rPr>
                <w:rFonts w:ascii="Arial" w:hAnsi="Arial"/>
                <w:sz w:val="22"/>
                <w:szCs w:val="22"/>
              </w:rPr>
              <w:t>Scattered light</w:t>
            </w:r>
          </w:p>
        </w:tc>
        <w:tc>
          <w:tcPr>
            <w:tcW w:w="1090" w:type="dxa"/>
            <w:vAlign w:val="center"/>
          </w:tcPr>
          <w:p w:rsidR="00FB1B59" w:rsidRPr="007019C4" w:rsidRDefault="00FB1B59" w:rsidP="007019C4">
            <w:pPr>
              <w:spacing w:before="0"/>
              <w:jc w:val="center"/>
              <w:rPr>
                <w:rFonts w:ascii="Arial" w:hAnsi="Arial"/>
                <w:sz w:val="22"/>
                <w:szCs w:val="22"/>
              </w:rPr>
            </w:pPr>
          </w:p>
        </w:tc>
        <w:tc>
          <w:tcPr>
            <w:tcW w:w="1082" w:type="dxa"/>
            <w:vAlign w:val="center"/>
          </w:tcPr>
          <w:p w:rsidR="00FB1B59" w:rsidRPr="007019C4" w:rsidRDefault="00FB1B59" w:rsidP="007019C4">
            <w:pPr>
              <w:spacing w:before="0"/>
              <w:jc w:val="center"/>
              <w:rPr>
                <w:rFonts w:ascii="Arial" w:hAnsi="Arial"/>
                <w:sz w:val="22"/>
                <w:szCs w:val="22"/>
              </w:rPr>
            </w:pPr>
          </w:p>
        </w:tc>
      </w:tr>
      <w:tr w:rsidR="00FB1B59">
        <w:trPr>
          <w:trHeight w:val="648"/>
        </w:trPr>
        <w:tc>
          <w:tcPr>
            <w:tcW w:w="1088" w:type="dxa"/>
          </w:tcPr>
          <w:p w:rsidR="00FB1B59" w:rsidRPr="007019C4" w:rsidRDefault="00FB1B59" w:rsidP="007019C4">
            <w:pPr>
              <w:spacing w:before="0"/>
              <w:rPr>
                <w:rFonts w:ascii="Arial" w:hAnsi="Arial"/>
                <w:b/>
                <w:bCs/>
                <w:sz w:val="22"/>
                <w:szCs w:val="22"/>
              </w:rPr>
            </w:pPr>
          </w:p>
        </w:tc>
        <w:tc>
          <w:tcPr>
            <w:tcW w:w="1079" w:type="dxa"/>
          </w:tcPr>
          <w:p w:rsidR="00FB1B59" w:rsidRPr="007019C4" w:rsidRDefault="00FB1B59" w:rsidP="007019C4">
            <w:pPr>
              <w:spacing w:before="0"/>
              <w:rPr>
                <w:rFonts w:ascii="Arial" w:hAnsi="Arial"/>
                <w:sz w:val="22"/>
                <w:szCs w:val="22"/>
              </w:rPr>
            </w:pPr>
          </w:p>
        </w:tc>
        <w:tc>
          <w:tcPr>
            <w:tcW w:w="1094"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1082" w:type="dxa"/>
            <w:vAlign w:val="center"/>
          </w:tcPr>
          <w:p w:rsidR="00FB1B59" w:rsidRPr="007019C4" w:rsidRDefault="00FB1B59" w:rsidP="007019C4">
            <w:pPr>
              <w:spacing w:before="0"/>
              <w:jc w:val="center"/>
              <w:rPr>
                <w:rFonts w:ascii="Arial" w:hAnsi="Arial"/>
                <w:sz w:val="22"/>
                <w:szCs w:val="22"/>
              </w:rPr>
            </w:pPr>
          </w:p>
        </w:tc>
        <w:tc>
          <w:tcPr>
            <w:tcW w:w="1233" w:type="dxa"/>
            <w:vAlign w:val="center"/>
          </w:tcPr>
          <w:p w:rsidR="00FB1B59" w:rsidRPr="007019C4" w:rsidRDefault="00FB1B59" w:rsidP="007019C4">
            <w:pPr>
              <w:spacing w:before="0"/>
              <w:jc w:val="center"/>
              <w:rPr>
                <w:rFonts w:ascii="Arial" w:hAnsi="Arial"/>
                <w:sz w:val="22"/>
                <w:szCs w:val="22"/>
              </w:rPr>
            </w:pPr>
          </w:p>
        </w:tc>
        <w:tc>
          <w:tcPr>
            <w:tcW w:w="1079" w:type="dxa"/>
            <w:vAlign w:val="center"/>
          </w:tcPr>
          <w:p w:rsidR="00FB1B59" w:rsidRPr="007019C4" w:rsidRDefault="00FB1B59" w:rsidP="007019C4">
            <w:pPr>
              <w:spacing w:before="0"/>
              <w:jc w:val="center"/>
              <w:rPr>
                <w:rFonts w:ascii="Arial" w:hAnsi="Arial"/>
                <w:sz w:val="22"/>
                <w:szCs w:val="22"/>
              </w:rPr>
            </w:pPr>
          </w:p>
        </w:tc>
        <w:tc>
          <w:tcPr>
            <w:tcW w:w="1079" w:type="dxa"/>
            <w:vAlign w:val="center"/>
          </w:tcPr>
          <w:p w:rsidR="00FB1B59" w:rsidRPr="007019C4" w:rsidRDefault="00FB1B59" w:rsidP="007019C4">
            <w:pPr>
              <w:spacing w:before="0"/>
              <w:jc w:val="center"/>
              <w:rPr>
                <w:rFonts w:ascii="Arial" w:hAnsi="Arial"/>
                <w:sz w:val="22"/>
                <w:szCs w:val="22"/>
              </w:rPr>
            </w:pPr>
          </w:p>
        </w:tc>
        <w:tc>
          <w:tcPr>
            <w:tcW w:w="1090" w:type="dxa"/>
            <w:vAlign w:val="center"/>
          </w:tcPr>
          <w:p w:rsidR="00FB1B59" w:rsidRPr="007019C4" w:rsidRDefault="00FB1B59" w:rsidP="007019C4">
            <w:pPr>
              <w:spacing w:before="0"/>
              <w:jc w:val="center"/>
              <w:rPr>
                <w:rFonts w:ascii="Arial" w:hAnsi="Arial"/>
                <w:sz w:val="22"/>
                <w:szCs w:val="22"/>
              </w:rPr>
            </w:pPr>
          </w:p>
        </w:tc>
        <w:tc>
          <w:tcPr>
            <w:tcW w:w="2172" w:type="dxa"/>
            <w:gridSpan w:val="2"/>
            <w:shd w:val="clear" w:color="auto" w:fill="A7BFDE"/>
            <w:vAlign w:val="center"/>
          </w:tcPr>
          <w:p w:rsidR="00FB1B59" w:rsidRPr="007019C4" w:rsidRDefault="00FB1B59" w:rsidP="007019C4">
            <w:pPr>
              <w:spacing w:before="0"/>
              <w:jc w:val="center"/>
              <w:rPr>
                <w:rFonts w:ascii="Arial" w:hAnsi="Arial"/>
                <w:sz w:val="22"/>
                <w:szCs w:val="22"/>
              </w:rPr>
            </w:pPr>
            <w:r w:rsidRPr="007019C4">
              <w:rPr>
                <w:rFonts w:ascii="Arial" w:hAnsi="Arial"/>
                <w:sz w:val="22"/>
                <w:szCs w:val="22"/>
              </w:rPr>
              <w:t>Adaptive feed-forward</w:t>
            </w:r>
          </w:p>
        </w:tc>
      </w:tr>
    </w:tbl>
    <w:p w:rsidR="00FB1B59" w:rsidRDefault="00FB1B59" w:rsidP="00B74455">
      <w:pPr>
        <w:sectPr w:rsidR="00FB1B59">
          <w:pgSz w:w="15840" w:h="12240" w:orient="landscape" w:code="1"/>
          <w:pgMar w:top="1325" w:right="1440" w:bottom="1325" w:left="1440" w:gutter="0"/>
          <w:titlePg/>
        </w:sectPr>
      </w:pPr>
    </w:p>
    <w:p w:rsidR="00FB1B59" w:rsidRPr="00D06B06" w:rsidRDefault="00FB1B59" w:rsidP="00ED3987">
      <w:pPr>
        <w:pStyle w:val="Heading1"/>
        <w:numPr>
          <w:ilvl w:val="0"/>
          <w:numId w:val="0"/>
        </w:numPr>
        <w:ind w:left="720"/>
      </w:pPr>
      <w:r>
        <w:rPr>
          <w:noProof/>
        </w:rPr>
        <w:pict>
          <v:shapetype id="_x0000_t202" coordsize="21600,21600" o:spt="202" path="m0,0l0,21600,21600,21600,21600,0xe">
            <v:stroke joinstyle="miter"/>
            <v:path gradientshapeok="t" o:connecttype="rect"/>
          </v:shapetype>
          <v:shape id="_x0000_s1030" type="#_x0000_t202" style="position:absolute;left:0;text-align:left;margin-left:315.8pt;margin-top:117.5pt;width:18pt;height:18pt;z-index:251658240" wrapcoords="0 0 21600 0 21600 21600 0 21600 0 0" filled="f" stroked="f">
            <v:fill o:detectmouseclick="t"/>
            <v:textbox style="mso-next-textbox:#_x0000_s1030" inset=",7.2pt,,7.2pt">
              <w:txbxContent>
                <w:p w:rsidR="00123503" w:rsidRDefault="00123503">
                  <w:r>
                    <w:rPr>
                      <w:b/>
                    </w:rPr>
                    <w:t>akjdsoiofjieo</w:t>
                  </w:r>
                </w:p>
              </w:txbxContent>
            </v:textbox>
            <w10:wrap type="tight"/>
          </v:shape>
        </w:pict>
      </w:r>
    </w:p>
    <w:sectPr w:rsidR="00FB1B59" w:rsidRPr="00D06B06" w:rsidSect="00F75812">
      <w:pgSz w:w="12240" w:h="15840" w:code="1"/>
      <w:pgMar w:top="1440" w:right="1325" w:bottom="1440" w:left="1325"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503" w:rsidRDefault="00123503">
      <w:r>
        <w:separator/>
      </w:r>
    </w:p>
  </w:endnote>
  <w:endnote w:type="continuationSeparator" w:id="0">
    <w:p w:rsidR="00123503" w:rsidRDefault="00123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03" w:rsidRDefault="0012350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3503" w:rsidRDefault="0012350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03" w:rsidRDefault="00123503">
    <w:pPr>
      <w:pStyle w:val="Footer"/>
      <w:framePr w:wrap="auto"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61039">
      <w:rPr>
        <w:rStyle w:val="PageNumber"/>
        <w:noProof/>
      </w:rPr>
      <w:t>11</w:t>
    </w:r>
    <w:r>
      <w:rPr>
        <w:rStyle w:val="PageNumber"/>
      </w:rPr>
      <w:fldChar w:fldCharType="end"/>
    </w:r>
  </w:p>
  <w:p w:rsidR="00123503" w:rsidRDefault="0012350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503" w:rsidRDefault="00123503">
      <w:r>
        <w:separator/>
      </w:r>
    </w:p>
  </w:footnote>
  <w:footnote w:type="continuationSeparator" w:id="0">
    <w:p w:rsidR="00123503" w:rsidRDefault="00123503">
      <w:r>
        <w:continuationSeparator/>
      </w:r>
    </w:p>
  </w:footnote>
  <w:footnote w:id="1">
    <w:p w:rsidR="00123503" w:rsidRDefault="00123503">
      <w:pPr>
        <w:pStyle w:val="FootnoteText"/>
      </w:pPr>
      <w:r>
        <w:rPr>
          <w:rStyle w:val="FootnoteReference"/>
        </w:rPr>
        <w:footnoteRef/>
      </w:r>
      <w:r>
        <w:t xml:space="preserve"> It has to be the Y-arm because the H2 X-arm will use the beam line that continues to be occupied by H1.</w:t>
      </w:r>
    </w:p>
  </w:footnote>
  <w:footnote w:id="2">
    <w:p w:rsidR="00123503" w:rsidRDefault="00123503">
      <w:pPr>
        <w:pStyle w:val="FootnoteText"/>
      </w:pPr>
      <w:r>
        <w:rPr>
          <w:rStyle w:val="FootnoteReference"/>
        </w:rPr>
        <w:footnoteRef/>
      </w:r>
      <w:r>
        <w:t xml:space="preserve"> The ISI performance levels will be described in a document currently in preparation by the SEI team.</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03" w:rsidRDefault="00123503">
    <w:pPr>
      <w:pStyle w:val="Header"/>
      <w:tabs>
        <w:tab w:val="clear" w:pos="4320"/>
        <w:tab w:val="center" w:pos="4680"/>
      </w:tabs>
      <w:jc w:val="left"/>
      <w:rPr>
        <w:sz w:val="20"/>
      </w:rPr>
    </w:pPr>
    <w:r>
      <w:rPr>
        <w:b/>
        <w:bCs/>
        <w:i/>
        <w:iCs/>
        <w:color w:val="0000FF"/>
        <w:sz w:val="20"/>
      </w:rPr>
      <w:t>LIGO</w:t>
    </w:r>
    <w:r>
      <w:rPr>
        <w:sz w:val="20"/>
      </w:rPr>
      <w:tab/>
      <w:t>LIGO-T1100080-v3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03" w:rsidRDefault="00123503">
    <w:pPr>
      <w:pStyle w:val="Header"/>
      <w:jc w:val="right"/>
    </w:pPr>
    <w:r>
      <w:rPr>
        <w:b/>
        <w:caps/>
      </w:rPr>
      <w:t>Laser Interferometer Gravitational Wave Observatory</w:t>
    </w:r>
    <w:r>
      <w:rPr>
        <w:noProof/>
        <w:sz w:val="20"/>
      </w:rPr>
      <w:t xml:space="preserve"> </w:t>
    </w:r>
    <w:r>
      <w:rPr>
        <w:noProof/>
      </w:rPr>
      <w:drawing>
        <wp:anchor distT="0" distB="0" distL="114300" distR="114300" simplePos="0" relativeHeight="251657728" behindDoc="0" locked="0" layoutInCell="1" allowOverlap="1">
          <wp:simplePos x="0" y="0"/>
          <wp:positionH relativeFrom="column">
            <wp:posOffset>-22225</wp:posOffset>
          </wp:positionH>
          <wp:positionV relativeFrom="paragraph">
            <wp:posOffset>-9525</wp:posOffset>
          </wp:positionV>
          <wp:extent cx="991235" cy="723900"/>
          <wp:effectExtent l="2540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1235" cy="723900"/>
                  </a:xfrm>
                  <a:prstGeom prst="rect">
                    <a:avLst/>
                  </a:prstGeom>
                  <a:noFill/>
                  <a:ln w="12700">
                    <a:miter lim="800000"/>
                    <a:headEnd type="none" w="sm" len="sm"/>
                    <a:tailEnd type="none" w="sm" len="sm"/>
                  </a:ln>
                  <a:effec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88F5855"/>
    <w:multiLevelType w:val="multilevel"/>
    <w:tmpl w:val="B51C74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96440F0"/>
    <w:multiLevelType w:val="multilevel"/>
    <w:tmpl w:val="AD7C0F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B9F6452"/>
    <w:multiLevelType w:val="multilevel"/>
    <w:tmpl w:val="429231C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9">
    <w:nsid w:val="30A15C6E"/>
    <w:multiLevelType w:val="multilevel"/>
    <w:tmpl w:val="54F251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1E43531"/>
    <w:multiLevelType w:val="hybridMultilevel"/>
    <w:tmpl w:val="B51C7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EC13F83"/>
    <w:multiLevelType w:val="hybridMultilevel"/>
    <w:tmpl w:val="AD7C0F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723ED"/>
    <w:multiLevelType w:val="singleLevel"/>
    <w:tmpl w:val="F78ECE74"/>
    <w:lvl w:ilvl="0">
      <w:start w:val="2"/>
      <w:numFmt w:val="decimal"/>
      <w:lvlText w:val="%1"/>
      <w:lvlJc w:val="left"/>
      <w:pPr>
        <w:tabs>
          <w:tab w:val="num" w:pos="720"/>
        </w:tabs>
        <w:ind w:left="720" w:hanging="720"/>
      </w:pPr>
      <w:rPr>
        <w:rFonts w:cs="Times New Roman" w:hint="default"/>
        <w:i w:val="0"/>
        <w:sz w:val="28"/>
      </w:rPr>
    </w:lvl>
  </w:abstractNum>
  <w:abstractNum w:abstractNumId="16">
    <w:nsid w:val="60B37888"/>
    <w:multiLevelType w:val="multilevel"/>
    <w:tmpl w:val="4FE0C2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63FC0392"/>
    <w:multiLevelType w:val="multilevel"/>
    <w:tmpl w:val="EFFE61D4"/>
    <w:lvl w:ilvl="0">
      <w:start w:val="2"/>
      <w:numFmt w:val="decimal"/>
      <w:lvlText w:val="%1"/>
      <w:lvlJc w:val="left"/>
      <w:pPr>
        <w:tabs>
          <w:tab w:val="num" w:pos="432"/>
        </w:tabs>
        <w:ind w:left="432" w:hanging="432"/>
      </w:pPr>
      <w:rPr>
        <w:rFonts w:cs="Times New Roman"/>
      </w:rPr>
    </w:lvl>
    <w:lvl w:ilvl="1">
      <w:start w:val="1"/>
      <w:numFmt w:val="decimal"/>
      <w:lvlText w:val="1.%2 "/>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65617CBE"/>
    <w:multiLevelType w:val="multilevel"/>
    <w:tmpl w:val="9978F8D0"/>
    <w:lvl w:ilvl="0">
      <w:start w:val="3"/>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9">
    <w:nsid w:val="656E739B"/>
    <w:multiLevelType w:val="hybridMultilevel"/>
    <w:tmpl w:val="878E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A7A20C3"/>
    <w:multiLevelType w:val="hybridMultilevel"/>
    <w:tmpl w:val="43F6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A52E2"/>
    <w:multiLevelType w:val="singleLevel"/>
    <w:tmpl w:val="FE127BBC"/>
    <w:lvl w:ilvl="0">
      <w:start w:val="1"/>
      <w:numFmt w:val="decimal"/>
      <w:lvlText w:val="%1"/>
      <w:lvlJc w:val="left"/>
      <w:pPr>
        <w:tabs>
          <w:tab w:val="num" w:pos="720"/>
        </w:tabs>
        <w:ind w:left="720" w:hanging="720"/>
      </w:pPr>
      <w:rPr>
        <w:rFonts w:cs="Times New Roman" w:hint="default"/>
      </w:rPr>
    </w:lvl>
  </w:abstractNum>
  <w:abstractNum w:abstractNumId="22">
    <w:nsid w:val="7A433082"/>
    <w:multiLevelType w:val="multilevel"/>
    <w:tmpl w:val="A51A6A48"/>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3">
    <w:nsid w:val="7C4B2131"/>
    <w:multiLevelType w:val="hybridMultilevel"/>
    <w:tmpl w:val="1B58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CF10FF4"/>
    <w:multiLevelType w:val="multilevel"/>
    <w:tmpl w:val="A51A6A48"/>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1"/>
  </w:num>
  <w:num w:numId="5">
    <w:abstractNumId w:val="0"/>
  </w:num>
  <w:num w:numId="6">
    <w:abstractNumId w:val="15"/>
  </w:num>
  <w:num w:numId="7">
    <w:abstractNumId w:val="3"/>
  </w:num>
  <w:num w:numId="8">
    <w:abstractNumId w:val="2"/>
  </w:num>
  <w:num w:numId="9">
    <w:abstractNumId w:val="4"/>
  </w:num>
  <w:num w:numId="10">
    <w:abstractNumId w:val="8"/>
  </w:num>
  <w:num w:numId="11">
    <w:abstractNumId w:val="13"/>
  </w:num>
  <w:num w:numId="12">
    <w:abstractNumId w:val="14"/>
  </w:num>
  <w:num w:numId="13">
    <w:abstractNumId w:val="2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18"/>
  </w:num>
  <w:num w:numId="19">
    <w:abstractNumId w:val="12"/>
  </w:num>
  <w:num w:numId="20">
    <w:abstractNumId w:val="9"/>
  </w:num>
  <w:num w:numId="21">
    <w:abstractNumId w:val="9"/>
  </w:num>
  <w:num w:numId="22">
    <w:abstractNumId w:val="9"/>
  </w:num>
  <w:num w:numId="23">
    <w:abstractNumId w:val="9"/>
  </w:num>
  <w:num w:numId="24">
    <w:abstractNumId w:val="9"/>
    <w:lvlOverride w:ilvl="0">
      <w:lvl w:ilvl="0">
        <w:start w:val="2"/>
        <w:numFmt w:val="decimal"/>
        <w:lvlText w:val="%1"/>
        <w:lvlJc w:val="left"/>
        <w:pPr>
          <w:tabs>
            <w:tab w:val="num" w:pos="432"/>
          </w:tabs>
          <w:ind w:left="432" w:hanging="432"/>
        </w:pPr>
        <w:rPr>
          <w:rFonts w:cs="Times New Roman"/>
        </w:rPr>
      </w:lvl>
    </w:lvlOverride>
    <w:lvlOverride w:ilvl="1">
      <w:lvl w:ilvl="1">
        <w:start w:val="1"/>
        <w:numFmt w:val="decimal"/>
        <w:lvlText w:val="1.%2 "/>
        <w:lvlJc w:val="left"/>
        <w:pPr>
          <w:tabs>
            <w:tab w:val="num" w:pos="576"/>
          </w:tabs>
          <w:ind w:left="576" w:hanging="576"/>
        </w:pPr>
        <w:rPr>
          <w:rFonts w:cs="Times New Roman"/>
        </w:rPr>
      </w:lvl>
    </w:lvlOverride>
    <w:lvlOverride w:ilvl="2">
      <w:lvl w:ilvl="2">
        <w:start w:val="1"/>
        <w:numFmt w:val="decimal"/>
        <w:lvlText w:val="%1.%2.%3"/>
        <w:lvlJc w:val="left"/>
        <w:pPr>
          <w:tabs>
            <w:tab w:val="num" w:pos="720"/>
          </w:tabs>
          <w:ind w:left="720" w:hanging="720"/>
        </w:pPr>
        <w:rPr>
          <w:rFonts w:cs="Times New Roman"/>
        </w:rPr>
      </w:lvl>
    </w:lvlOverride>
    <w:lvlOverride w:ilvl="3">
      <w:lvl w:ilvl="3">
        <w:start w:val="1"/>
        <w:numFmt w:val="decimal"/>
        <w:lvlText w:val="%1.%2.%3.%4"/>
        <w:lvlJc w:val="left"/>
        <w:pPr>
          <w:tabs>
            <w:tab w:val="num" w:pos="864"/>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584"/>
          </w:tabs>
          <w:ind w:left="1584" w:hanging="1584"/>
        </w:pPr>
        <w:rPr>
          <w:rFonts w:cs="Times New Roman"/>
        </w:rPr>
      </w:lvl>
    </w:lvlOverride>
  </w:num>
  <w:num w:numId="25">
    <w:abstractNumId w:val="17"/>
  </w:num>
  <w:num w:numId="26">
    <w:abstractNumId w:val="17"/>
    <w:lvlOverride w:ilvl="0">
      <w:lvl w:ilvl="0">
        <w:start w:val="1"/>
        <w:numFmt w:val="decima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576"/>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7">
    <w:abstractNumId w:val="22"/>
  </w:num>
  <w:num w:numId="28">
    <w:abstractNumId w:val="19"/>
  </w:num>
  <w:num w:numId="29">
    <w:abstractNumId w:val="10"/>
  </w:num>
  <w:num w:numId="30">
    <w:abstractNumId w:val="11"/>
  </w:num>
  <w:num w:numId="31">
    <w:abstractNumId w:val="7"/>
  </w:num>
  <w:num w:numId="32">
    <w:abstractNumId w:val="23"/>
  </w:num>
  <w:num w:numId="33">
    <w:abstractNumId w:val="6"/>
  </w:num>
  <w:num w:numId="34">
    <w:abstractNumId w:val="2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5F48B2"/>
    <w:rsid w:val="00061AF1"/>
    <w:rsid w:val="00067D5B"/>
    <w:rsid w:val="00086EBF"/>
    <w:rsid w:val="00094826"/>
    <w:rsid w:val="000D1FB8"/>
    <w:rsid w:val="000E36EE"/>
    <w:rsid w:val="00114835"/>
    <w:rsid w:val="00122D9C"/>
    <w:rsid w:val="00123503"/>
    <w:rsid w:val="00134253"/>
    <w:rsid w:val="0014150F"/>
    <w:rsid w:val="0015705F"/>
    <w:rsid w:val="001773CA"/>
    <w:rsid w:val="001D4BB8"/>
    <w:rsid w:val="001E202C"/>
    <w:rsid w:val="001E4A2F"/>
    <w:rsid w:val="001E6392"/>
    <w:rsid w:val="001F51D6"/>
    <w:rsid w:val="001F6AD4"/>
    <w:rsid w:val="001F7E99"/>
    <w:rsid w:val="00214C8C"/>
    <w:rsid w:val="00223EF4"/>
    <w:rsid w:val="002241A6"/>
    <w:rsid w:val="00233522"/>
    <w:rsid w:val="00234AAC"/>
    <w:rsid w:val="0024057D"/>
    <w:rsid w:val="00250E05"/>
    <w:rsid w:val="00252009"/>
    <w:rsid w:val="00266FEC"/>
    <w:rsid w:val="00281911"/>
    <w:rsid w:val="0028489B"/>
    <w:rsid w:val="002905D9"/>
    <w:rsid w:val="00294B28"/>
    <w:rsid w:val="002967CD"/>
    <w:rsid w:val="002B0845"/>
    <w:rsid w:val="002D6095"/>
    <w:rsid w:val="00307668"/>
    <w:rsid w:val="00311537"/>
    <w:rsid w:val="0035048C"/>
    <w:rsid w:val="0036226E"/>
    <w:rsid w:val="00372C0F"/>
    <w:rsid w:val="00375B7C"/>
    <w:rsid w:val="003875E2"/>
    <w:rsid w:val="003933A0"/>
    <w:rsid w:val="003A1B82"/>
    <w:rsid w:val="003B10D9"/>
    <w:rsid w:val="003B4CCE"/>
    <w:rsid w:val="003D0DB7"/>
    <w:rsid w:val="003D3FF4"/>
    <w:rsid w:val="003E6054"/>
    <w:rsid w:val="003F2352"/>
    <w:rsid w:val="00444104"/>
    <w:rsid w:val="00465E78"/>
    <w:rsid w:val="00490EC1"/>
    <w:rsid w:val="004916A3"/>
    <w:rsid w:val="00495015"/>
    <w:rsid w:val="004A0039"/>
    <w:rsid w:val="004A1FAD"/>
    <w:rsid w:val="004B31E3"/>
    <w:rsid w:val="004C003C"/>
    <w:rsid w:val="004C27FF"/>
    <w:rsid w:val="004D653E"/>
    <w:rsid w:val="004E36C1"/>
    <w:rsid w:val="00511FD4"/>
    <w:rsid w:val="00531B0A"/>
    <w:rsid w:val="0054334E"/>
    <w:rsid w:val="00572341"/>
    <w:rsid w:val="005A3544"/>
    <w:rsid w:val="005C108A"/>
    <w:rsid w:val="005E13FE"/>
    <w:rsid w:val="005F3215"/>
    <w:rsid w:val="005F48B2"/>
    <w:rsid w:val="00624503"/>
    <w:rsid w:val="00631923"/>
    <w:rsid w:val="0063238D"/>
    <w:rsid w:val="00645154"/>
    <w:rsid w:val="00657528"/>
    <w:rsid w:val="0068687D"/>
    <w:rsid w:val="006A71B0"/>
    <w:rsid w:val="006B644D"/>
    <w:rsid w:val="007019C4"/>
    <w:rsid w:val="007068C4"/>
    <w:rsid w:val="00715987"/>
    <w:rsid w:val="007178B9"/>
    <w:rsid w:val="0074535D"/>
    <w:rsid w:val="00776291"/>
    <w:rsid w:val="007769A7"/>
    <w:rsid w:val="00780CB1"/>
    <w:rsid w:val="0078145B"/>
    <w:rsid w:val="007A5254"/>
    <w:rsid w:val="00812678"/>
    <w:rsid w:val="00832753"/>
    <w:rsid w:val="00845165"/>
    <w:rsid w:val="00880A7A"/>
    <w:rsid w:val="008A769D"/>
    <w:rsid w:val="008B36E4"/>
    <w:rsid w:val="008C2AD0"/>
    <w:rsid w:val="009022BF"/>
    <w:rsid w:val="00921521"/>
    <w:rsid w:val="00941B42"/>
    <w:rsid w:val="009538E1"/>
    <w:rsid w:val="00985A3D"/>
    <w:rsid w:val="00985B07"/>
    <w:rsid w:val="009947E9"/>
    <w:rsid w:val="009B1BFF"/>
    <w:rsid w:val="009C1900"/>
    <w:rsid w:val="009D1A54"/>
    <w:rsid w:val="009D4C15"/>
    <w:rsid w:val="009E145D"/>
    <w:rsid w:val="009E20CD"/>
    <w:rsid w:val="009F0CF5"/>
    <w:rsid w:val="009F7651"/>
    <w:rsid w:val="00A0226B"/>
    <w:rsid w:val="00A16CA3"/>
    <w:rsid w:val="00A27CCE"/>
    <w:rsid w:val="00A31C5A"/>
    <w:rsid w:val="00A425E8"/>
    <w:rsid w:val="00A46D5A"/>
    <w:rsid w:val="00A55BCA"/>
    <w:rsid w:val="00A61039"/>
    <w:rsid w:val="00A67B36"/>
    <w:rsid w:val="00A817C1"/>
    <w:rsid w:val="00AB3906"/>
    <w:rsid w:val="00AC090C"/>
    <w:rsid w:val="00B649E6"/>
    <w:rsid w:val="00B74455"/>
    <w:rsid w:val="00B7542D"/>
    <w:rsid w:val="00BB6F32"/>
    <w:rsid w:val="00C151C7"/>
    <w:rsid w:val="00C17FD4"/>
    <w:rsid w:val="00C20F25"/>
    <w:rsid w:val="00C5217F"/>
    <w:rsid w:val="00C64AD9"/>
    <w:rsid w:val="00C91FB7"/>
    <w:rsid w:val="00CA163A"/>
    <w:rsid w:val="00CC3B9F"/>
    <w:rsid w:val="00CD1AFF"/>
    <w:rsid w:val="00CF09C5"/>
    <w:rsid w:val="00D06B06"/>
    <w:rsid w:val="00D16972"/>
    <w:rsid w:val="00D47828"/>
    <w:rsid w:val="00DA672E"/>
    <w:rsid w:val="00DA75D1"/>
    <w:rsid w:val="00DB52AC"/>
    <w:rsid w:val="00DE1411"/>
    <w:rsid w:val="00DF5971"/>
    <w:rsid w:val="00E202B8"/>
    <w:rsid w:val="00E22CC2"/>
    <w:rsid w:val="00E271E7"/>
    <w:rsid w:val="00E37EAA"/>
    <w:rsid w:val="00E53049"/>
    <w:rsid w:val="00E66298"/>
    <w:rsid w:val="00E6764A"/>
    <w:rsid w:val="00E81009"/>
    <w:rsid w:val="00E83A93"/>
    <w:rsid w:val="00E952B7"/>
    <w:rsid w:val="00EA2E1C"/>
    <w:rsid w:val="00EC37C6"/>
    <w:rsid w:val="00EC4442"/>
    <w:rsid w:val="00ED3987"/>
    <w:rsid w:val="00ED6AE0"/>
    <w:rsid w:val="00EE16B0"/>
    <w:rsid w:val="00EE2253"/>
    <w:rsid w:val="00EE4D45"/>
    <w:rsid w:val="00EE7DF8"/>
    <w:rsid w:val="00F11B6F"/>
    <w:rsid w:val="00F1501A"/>
    <w:rsid w:val="00F22608"/>
    <w:rsid w:val="00F23F46"/>
    <w:rsid w:val="00F44BE5"/>
    <w:rsid w:val="00F5292B"/>
    <w:rsid w:val="00F61DC4"/>
    <w:rsid w:val="00F65452"/>
    <w:rsid w:val="00F75812"/>
    <w:rsid w:val="00F9313D"/>
    <w:rsid w:val="00FA7144"/>
    <w:rsid w:val="00FB1B59"/>
    <w:rsid w:val="00FB3DAE"/>
    <w:rsid w:val="00FB7764"/>
    <w:rsid w:val="00FC1B09"/>
    <w:rsid w:val="00FE495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semiHidden/>
    <w:rsid w:val="00DA75D1"/>
    <w:pPr>
      <w:jc w:val="left"/>
    </w:pPr>
    <w:rPr>
      <w:b/>
      <w:bCs/>
      <w:i/>
      <w:iCs/>
      <w:szCs w:val="28"/>
    </w:rPr>
  </w:style>
  <w:style w:type="paragraph" w:styleId="TOC2">
    <w:name w:val="toc 2"/>
    <w:basedOn w:val="Normal"/>
    <w:next w:val="Normal"/>
    <w:autoRedefine/>
    <w:semiHidden/>
    <w:rsid w:val="00DA75D1"/>
    <w:pPr>
      <w:ind w:left="240"/>
      <w:jc w:val="left"/>
    </w:pPr>
    <w:rPr>
      <w:b/>
      <w:bCs/>
      <w:szCs w:val="26"/>
    </w:rPr>
  </w:style>
  <w:style w:type="paragraph" w:styleId="TOC3">
    <w:name w:val="toc 3"/>
    <w:basedOn w:val="Normal"/>
    <w:next w:val="Normal"/>
    <w:autoRedefine/>
    <w:semiHidden/>
    <w:rsid w:val="00DA75D1"/>
    <w:pPr>
      <w:spacing w:before="0"/>
      <w:ind w:left="480"/>
      <w:jc w:val="left"/>
    </w:pPr>
    <w:rPr>
      <w:szCs w:val="24"/>
    </w:rPr>
  </w:style>
  <w:style w:type="paragraph" w:styleId="TOC4">
    <w:name w:val="toc 4"/>
    <w:basedOn w:val="Normal"/>
    <w:next w:val="Normal"/>
    <w:autoRedefine/>
    <w:semiHidden/>
    <w:rsid w:val="00DA75D1"/>
    <w:pPr>
      <w:spacing w:before="0"/>
      <w:ind w:left="720"/>
      <w:jc w:val="left"/>
    </w:pPr>
    <w:rPr>
      <w:szCs w:val="24"/>
    </w:rPr>
  </w:style>
  <w:style w:type="paragraph" w:styleId="TOC5">
    <w:name w:val="toc 5"/>
    <w:basedOn w:val="Normal"/>
    <w:next w:val="Normal"/>
    <w:autoRedefine/>
    <w:semiHidden/>
    <w:rsid w:val="00DA75D1"/>
    <w:pPr>
      <w:spacing w:before="0"/>
      <w:ind w:left="960"/>
      <w:jc w:val="left"/>
    </w:pPr>
    <w:rPr>
      <w:szCs w:val="24"/>
    </w:rPr>
  </w:style>
  <w:style w:type="paragraph" w:styleId="TOC6">
    <w:name w:val="toc 6"/>
    <w:basedOn w:val="Normal"/>
    <w:next w:val="Normal"/>
    <w:autoRedefine/>
    <w:semiHidden/>
    <w:rsid w:val="00DA75D1"/>
    <w:pPr>
      <w:spacing w:before="0"/>
      <w:ind w:left="1200"/>
      <w:jc w:val="left"/>
    </w:pPr>
    <w:rPr>
      <w:szCs w:val="24"/>
    </w:rPr>
  </w:style>
  <w:style w:type="paragraph" w:styleId="TOC7">
    <w:name w:val="toc 7"/>
    <w:basedOn w:val="Normal"/>
    <w:next w:val="Normal"/>
    <w:autoRedefine/>
    <w:semiHidden/>
    <w:rsid w:val="00DA75D1"/>
    <w:pPr>
      <w:spacing w:before="0"/>
      <w:ind w:left="1440"/>
      <w:jc w:val="left"/>
    </w:pPr>
    <w:rPr>
      <w:szCs w:val="24"/>
    </w:rPr>
  </w:style>
  <w:style w:type="paragraph" w:styleId="TOC8">
    <w:name w:val="toc 8"/>
    <w:basedOn w:val="Normal"/>
    <w:next w:val="Normal"/>
    <w:autoRedefine/>
    <w:semiHidden/>
    <w:rsid w:val="00DA75D1"/>
    <w:pPr>
      <w:spacing w:before="0"/>
      <w:ind w:left="1680"/>
      <w:jc w:val="left"/>
    </w:pPr>
    <w:rPr>
      <w:szCs w:val="24"/>
    </w:rPr>
  </w:style>
  <w:style w:type="paragraph" w:styleId="TOC9">
    <w:name w:val="toc 9"/>
    <w:basedOn w:val="Normal"/>
    <w:next w:val="Normal"/>
    <w:autoRedefine/>
    <w:semiHidden/>
    <w:rsid w:val="00DA75D1"/>
    <w:pPr>
      <w:spacing w:before="0"/>
      <w:ind w:left="1920"/>
      <w:jc w:val="left"/>
    </w:pPr>
    <w:rPr>
      <w:szCs w:val="24"/>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qFormat/>
    <w:rsid w:val="00A46D5A"/>
    <w:pPr>
      <w:ind w:left="720"/>
    </w:pPr>
  </w:style>
  <w:style w:type="table" w:customStyle="1" w:styleId="MediumGrid3Accent3">
    <w:name w:val="Medium Grid 3 Accent 3"/>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
    <w:name w:val="Medium Grid 1 Accent 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4" Type="http://schemas.openxmlformats.org/officeDocument/2006/relationships/image" Target="media/image4.png"/><Relationship Id="rId20"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wmf"/><Relationship Id="rId11" Type="http://schemas.openxmlformats.org/officeDocument/2006/relationships/hyperlink" Target="https://dcc.ligo.org/cgi-bin/DocDB/ShowDocument?docid=1625"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oter" Target="footer1.xml"/><Relationship Id="rId8" Type="http://schemas.openxmlformats.org/officeDocument/2006/relationships/image" Target="media/image2.wmf"/><Relationship Id="rId13" Type="http://schemas.openxmlformats.org/officeDocument/2006/relationships/image" Target="media/image3.png"/><Relationship Id="rId10" Type="http://schemas.openxmlformats.org/officeDocument/2006/relationships/hyperlink" Target="https://dcc.ligo.org/cgi-bin/DocDB/ShowDocument?docid=1625" TargetMode="External"/><Relationship Id="rId5" Type="http://schemas.openxmlformats.org/officeDocument/2006/relationships/footnotes" Target="footnotes.xml"/><Relationship Id="rId15" Type="http://schemas.openxmlformats.org/officeDocument/2006/relationships/header" Target="header1.xml"/><Relationship Id="rId12" Type="http://schemas.openxmlformats.org/officeDocument/2006/relationships/hyperlink" Target="https://dcc.ligo.org/cgi-bin/private/DocDB/ShowDocument?docid=22578" TargetMode="External"/><Relationship Id="rId17" Type="http://schemas.openxmlformats.org/officeDocument/2006/relationships/footer" Target="footer2.xml"/><Relationship Id="rId19"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s://dcc.ligo.org/cgi-bin/private/DocDB/ShowDocument?docid=12173" TargetMode="External"/><Relationship Id="rId3" Type="http://schemas.openxmlformats.org/officeDocument/2006/relationships/settings" Target="settings.xml"/><Relationship Id="rId1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3098</Words>
  <Characters>17662</Characters>
  <Application>Microsoft Macintosh Word</Application>
  <DocSecurity>0</DocSecurity>
  <Lines>147</Lines>
  <Paragraphs>35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21690</CharactersWithSpaces>
  <SharedDoc>false</SharedDoc>
  <HLinks>
    <vt:vector size="24" baseType="variant">
      <vt:variant>
        <vt:i4>3473464</vt:i4>
      </vt:variant>
      <vt:variant>
        <vt:i4>18</vt:i4>
      </vt:variant>
      <vt:variant>
        <vt:i4>0</vt:i4>
      </vt:variant>
      <vt:variant>
        <vt:i4>5</vt:i4>
      </vt:variant>
      <vt:variant>
        <vt:lpwstr>https://dcc.ligo.org/cgi-bin/private/DocDB/ShowDocument?docid=22578</vt:lpwstr>
      </vt:variant>
      <vt:variant>
        <vt:lpwstr/>
      </vt:variant>
      <vt:variant>
        <vt:i4>3014755</vt:i4>
      </vt:variant>
      <vt:variant>
        <vt:i4>15</vt:i4>
      </vt:variant>
      <vt:variant>
        <vt:i4>0</vt:i4>
      </vt:variant>
      <vt:variant>
        <vt:i4>5</vt:i4>
      </vt:variant>
      <vt:variant>
        <vt:lpwstr>https://dcc.ligo.org/cgi-bin/DocDB/ShowDocument?docid=1625</vt:lpwstr>
      </vt:variant>
      <vt:variant>
        <vt:lpwstr/>
      </vt:variant>
      <vt:variant>
        <vt:i4>3014755</vt:i4>
      </vt:variant>
      <vt:variant>
        <vt:i4>3</vt:i4>
      </vt:variant>
      <vt:variant>
        <vt:i4>0</vt:i4>
      </vt:variant>
      <vt:variant>
        <vt:i4>5</vt:i4>
      </vt:variant>
      <vt:variant>
        <vt:lpwstr>https://dcc.ligo.org/cgi-bin/DocDB/ShowDocument?docid=1625</vt:lpwstr>
      </vt:variant>
      <vt:variant>
        <vt:lpwstr/>
      </vt:variant>
      <vt:variant>
        <vt:i4>3473471</vt:i4>
      </vt:variant>
      <vt:variant>
        <vt:i4>0</vt:i4>
      </vt:variant>
      <vt:variant>
        <vt:i4>0</vt:i4>
      </vt:variant>
      <vt:variant>
        <vt:i4>5</vt:i4>
      </vt:variant>
      <vt:variant>
        <vt:lpwstr>https://dcc.ligo.org/cgi-bin/private/DocDB/ShowDocument?docid=12173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Matthew Evans</dc:creator>
  <cp:keywords/>
  <dc:description/>
  <cp:lastModifiedBy>Peter Fritschel User</cp:lastModifiedBy>
  <cp:revision>5</cp:revision>
  <cp:lastPrinted>2011-02-06T21:05:00Z</cp:lastPrinted>
  <dcterms:created xsi:type="dcterms:W3CDTF">2011-03-09T22:13:00Z</dcterms:created>
  <dcterms:modified xsi:type="dcterms:W3CDTF">2011-03-10T15:17:00Z</dcterms:modified>
</cp:coreProperties>
</file>