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27" w:rsidRDefault="00677A27">
      <w:pPr>
        <w:pStyle w:val="PlainText"/>
        <w:jc w:val="center"/>
        <w:rPr>
          <w:i/>
          <w:sz w:val="36"/>
        </w:rPr>
      </w:pPr>
    </w:p>
    <w:p w:rsidR="00677A27" w:rsidRDefault="00677A27">
      <w:pPr>
        <w:pStyle w:val="PlainText"/>
        <w:jc w:val="center"/>
        <w:rPr>
          <w:i/>
          <w:sz w:val="36"/>
        </w:rPr>
      </w:pPr>
      <w:r>
        <w:rPr>
          <w:i/>
          <w:sz w:val="36"/>
        </w:rPr>
        <w:t>LIGO Laboratory / LIGO Scientific Collaboration</w:t>
      </w:r>
    </w:p>
    <w:p w:rsidR="00677A27" w:rsidRDefault="00677A27">
      <w:pPr>
        <w:pStyle w:val="PlainText"/>
        <w:jc w:val="center"/>
        <w:rPr>
          <w:sz w:val="36"/>
        </w:rPr>
      </w:pPr>
    </w:p>
    <w:p w:rsidR="00677A27" w:rsidRDefault="00677A27">
      <w:pPr>
        <w:pStyle w:val="PlainText"/>
        <w:jc w:val="left"/>
        <w:rPr>
          <w:sz w:val="36"/>
        </w:rPr>
      </w:pPr>
    </w:p>
    <w:p w:rsidR="00677A27" w:rsidRDefault="00677A27" w:rsidP="00677A27">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w:t>
      </w:r>
      <w:r w:rsidR="00B82381">
        <w:t>1100536</w:t>
      </w:r>
      <w:r>
        <w:t>-v1</w:t>
      </w:r>
      <w:r>
        <w:tab/>
      </w:r>
      <w:r>
        <w:rPr>
          <w:rFonts w:ascii="Times" w:hAnsi="Times"/>
          <w:i/>
          <w:iCs/>
          <w:color w:val="0000FF"/>
          <w:sz w:val="40"/>
        </w:rPr>
        <w:t>Advanced LIGO</w:t>
      </w:r>
      <w:r>
        <w:tab/>
        <w:t>Date:</w:t>
      </w:r>
      <w:r w:rsidR="00FE1E77">
        <w:t xml:space="preserve"> </w:t>
      </w:r>
      <w:fldSimple w:instr=" TIME \@ &quot;MMMM d, yyyy&quot; ">
        <w:r w:rsidR="00E2183E">
          <w:rPr>
            <w:noProof/>
          </w:rPr>
          <w:t>November 29, 2011</w:t>
        </w:r>
      </w:fldSimple>
    </w:p>
    <w:p w:rsidR="00677A27" w:rsidRDefault="00A40793">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677A27" w:rsidRDefault="00677A27">
      <w:pPr>
        <w:pStyle w:val="BodyText"/>
        <w:pBdr>
          <w:top w:val="threeDEmboss" w:sz="24" w:space="1" w:color="auto"/>
          <w:left w:val="threeDEmboss" w:sz="24" w:space="4" w:color="auto"/>
          <w:bottom w:val="threeDEmboss" w:sz="24" w:space="1" w:color="auto"/>
          <w:right w:val="threeDEmboss" w:sz="24" w:space="4" w:color="auto"/>
        </w:pBdr>
      </w:pPr>
      <w:r>
        <w:t xml:space="preserve">Hartmann </w:t>
      </w:r>
      <w:proofErr w:type="spellStart"/>
      <w:r w:rsidR="00B82381">
        <w:t>Wavefront</w:t>
      </w:r>
      <w:proofErr w:type="spellEnd"/>
      <w:r w:rsidR="00B82381">
        <w:t xml:space="preserve"> System: Defocus error budget</w:t>
      </w:r>
    </w:p>
    <w:p w:rsidR="00677A27" w:rsidRDefault="00A40793">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677A27" w:rsidRDefault="00B82381">
      <w:pPr>
        <w:pBdr>
          <w:top w:val="threeDEmboss" w:sz="24" w:space="1" w:color="auto"/>
          <w:left w:val="threeDEmboss" w:sz="24" w:space="4" w:color="auto"/>
          <w:bottom w:val="threeDEmboss" w:sz="24" w:space="1" w:color="auto"/>
          <w:right w:val="threeDEmboss" w:sz="24" w:space="4" w:color="auto"/>
        </w:pBdr>
        <w:jc w:val="center"/>
      </w:pPr>
      <w:r>
        <w:t>Authors: Aidan Brooks</w:t>
      </w:r>
    </w:p>
    <w:p w:rsidR="00677A27" w:rsidRDefault="00677A27">
      <w:pPr>
        <w:pStyle w:val="PlainText"/>
        <w:spacing w:before="0"/>
        <w:jc w:val="center"/>
      </w:pPr>
    </w:p>
    <w:p w:rsidR="00677A27" w:rsidRDefault="00677A27">
      <w:pPr>
        <w:pStyle w:val="PlainText"/>
        <w:spacing w:before="0"/>
        <w:jc w:val="center"/>
      </w:pPr>
      <w:r>
        <w:t>Distribution of this document:</w:t>
      </w:r>
    </w:p>
    <w:p w:rsidR="00677A27" w:rsidRDefault="00677A27">
      <w:pPr>
        <w:pStyle w:val="PlainText"/>
        <w:spacing w:before="0"/>
        <w:jc w:val="center"/>
      </w:pPr>
      <w:r>
        <w:t>LIGO Scientific Collaboration</w:t>
      </w:r>
    </w:p>
    <w:p w:rsidR="00677A27" w:rsidRDefault="00677A27">
      <w:pPr>
        <w:pStyle w:val="PlainText"/>
        <w:spacing w:before="0"/>
        <w:jc w:val="center"/>
      </w:pPr>
    </w:p>
    <w:p w:rsidR="00677A27" w:rsidRDefault="00677A27">
      <w:pPr>
        <w:pStyle w:val="PlainText"/>
        <w:spacing w:before="0"/>
        <w:jc w:val="center"/>
      </w:pPr>
      <w:r>
        <w:t>This is an internal working note</w:t>
      </w:r>
    </w:p>
    <w:p w:rsidR="00677A27" w:rsidRDefault="00677A27">
      <w:pPr>
        <w:pStyle w:val="PlainText"/>
        <w:spacing w:before="0"/>
        <w:jc w:val="center"/>
      </w:pPr>
      <w:r>
        <w:t>of the LIGO Laboratory.</w:t>
      </w:r>
    </w:p>
    <w:p w:rsidR="00677A27" w:rsidRDefault="00677A27">
      <w:pPr>
        <w:pStyle w:val="PlainText"/>
        <w:spacing w:before="0"/>
        <w:jc w:val="left"/>
      </w:pPr>
    </w:p>
    <w:tbl>
      <w:tblPr>
        <w:tblW w:w="0" w:type="auto"/>
        <w:tblLook w:val="0000"/>
      </w:tblPr>
      <w:tblGrid>
        <w:gridCol w:w="4903"/>
        <w:gridCol w:w="4903"/>
      </w:tblGrid>
      <w:tr w:rsidR="00677A27">
        <w:tc>
          <w:tcPr>
            <w:tcW w:w="4909" w:type="dxa"/>
          </w:tcPr>
          <w:p w:rsidR="00677A27" w:rsidRDefault="00677A27">
            <w:pPr>
              <w:pStyle w:val="PlainText"/>
              <w:spacing w:before="0"/>
              <w:jc w:val="center"/>
              <w:rPr>
                <w:b/>
                <w:bCs/>
                <w:color w:val="808080"/>
              </w:rPr>
            </w:pPr>
            <w:r>
              <w:rPr>
                <w:b/>
                <w:bCs/>
                <w:color w:val="808080"/>
              </w:rPr>
              <w:t>California Institute of Technology</w:t>
            </w:r>
          </w:p>
          <w:p w:rsidR="00677A27" w:rsidRDefault="00677A27">
            <w:pPr>
              <w:pStyle w:val="PlainText"/>
              <w:spacing w:before="0"/>
              <w:jc w:val="center"/>
              <w:rPr>
                <w:b/>
                <w:bCs/>
                <w:color w:val="808080"/>
              </w:rPr>
            </w:pPr>
            <w:r>
              <w:rPr>
                <w:b/>
                <w:bCs/>
                <w:color w:val="808080"/>
              </w:rPr>
              <w:t>LIGO Project – MS 18-34</w:t>
            </w:r>
          </w:p>
          <w:p w:rsidR="00677A27" w:rsidRPr="005F48B2" w:rsidRDefault="00677A27">
            <w:pPr>
              <w:pStyle w:val="PlainText"/>
              <w:spacing w:before="0"/>
              <w:jc w:val="center"/>
              <w:rPr>
                <w:b/>
                <w:bCs/>
                <w:color w:val="808080"/>
                <w:lang w:val="it-IT"/>
              </w:rPr>
            </w:pPr>
            <w:r w:rsidRPr="005F48B2">
              <w:rPr>
                <w:b/>
                <w:bCs/>
                <w:color w:val="808080"/>
                <w:lang w:val="it-IT"/>
              </w:rPr>
              <w:t>1200 E. California Blvd.</w:t>
            </w:r>
          </w:p>
          <w:p w:rsidR="00677A27" w:rsidRPr="005F48B2" w:rsidRDefault="00677A27">
            <w:pPr>
              <w:pStyle w:val="PlainText"/>
              <w:spacing w:before="0"/>
              <w:jc w:val="center"/>
              <w:rPr>
                <w:b/>
                <w:bCs/>
                <w:color w:val="808080"/>
                <w:lang w:val="it-IT"/>
              </w:rPr>
            </w:pPr>
            <w:r w:rsidRPr="005F48B2">
              <w:rPr>
                <w:b/>
                <w:bCs/>
                <w:color w:val="808080"/>
                <w:lang w:val="it-IT"/>
              </w:rPr>
              <w:t>Pasadena, CA 91125</w:t>
            </w:r>
          </w:p>
          <w:p w:rsidR="00677A27" w:rsidRPr="005F48B2" w:rsidRDefault="00677A27">
            <w:pPr>
              <w:pStyle w:val="PlainText"/>
              <w:spacing w:before="0"/>
              <w:jc w:val="center"/>
              <w:rPr>
                <w:color w:val="808080"/>
                <w:lang w:val="it-IT"/>
              </w:rPr>
            </w:pPr>
            <w:r w:rsidRPr="005F48B2">
              <w:rPr>
                <w:color w:val="808080"/>
                <w:lang w:val="it-IT"/>
              </w:rPr>
              <w:t>Phone (626) 395-2129</w:t>
            </w:r>
          </w:p>
          <w:p w:rsidR="00677A27" w:rsidRPr="005F48B2" w:rsidRDefault="00677A27">
            <w:pPr>
              <w:pStyle w:val="PlainText"/>
              <w:spacing w:before="0"/>
              <w:jc w:val="center"/>
              <w:rPr>
                <w:color w:val="808080"/>
                <w:lang w:val="it-IT"/>
              </w:rPr>
            </w:pPr>
            <w:r w:rsidRPr="005F48B2">
              <w:rPr>
                <w:color w:val="808080"/>
                <w:lang w:val="it-IT"/>
              </w:rPr>
              <w:t>Fax (626) 304-9834</w:t>
            </w:r>
          </w:p>
          <w:p w:rsidR="00677A27" w:rsidRPr="005F48B2" w:rsidRDefault="00677A27">
            <w:pPr>
              <w:pStyle w:val="PlainText"/>
              <w:spacing w:before="0"/>
              <w:jc w:val="center"/>
              <w:rPr>
                <w:color w:val="808080"/>
                <w:lang w:val="it-IT"/>
              </w:rPr>
            </w:pPr>
            <w:r w:rsidRPr="005F48B2">
              <w:rPr>
                <w:color w:val="808080"/>
                <w:lang w:val="it-IT"/>
              </w:rPr>
              <w:t>E-mail: info@ligo.caltech.edu</w:t>
            </w:r>
          </w:p>
        </w:tc>
        <w:tc>
          <w:tcPr>
            <w:tcW w:w="4909" w:type="dxa"/>
          </w:tcPr>
          <w:p w:rsidR="00677A27" w:rsidRDefault="00677A27">
            <w:pPr>
              <w:pStyle w:val="PlainText"/>
              <w:spacing w:before="0"/>
              <w:jc w:val="center"/>
              <w:rPr>
                <w:b/>
                <w:bCs/>
                <w:color w:val="808080"/>
              </w:rPr>
            </w:pPr>
            <w:r>
              <w:rPr>
                <w:b/>
                <w:bCs/>
                <w:color w:val="808080"/>
              </w:rPr>
              <w:t>Massachusetts Institute of Technology</w:t>
            </w:r>
          </w:p>
          <w:p w:rsidR="00677A27" w:rsidRDefault="00677A27">
            <w:pPr>
              <w:pStyle w:val="PlainText"/>
              <w:spacing w:before="0"/>
              <w:jc w:val="center"/>
              <w:rPr>
                <w:b/>
                <w:bCs/>
                <w:color w:val="808080"/>
              </w:rPr>
            </w:pPr>
            <w:r>
              <w:rPr>
                <w:b/>
                <w:bCs/>
                <w:color w:val="808080"/>
              </w:rPr>
              <w:t>LIGO Project – NW22-295</w:t>
            </w:r>
          </w:p>
          <w:p w:rsidR="00677A27" w:rsidRDefault="00677A27">
            <w:pPr>
              <w:pStyle w:val="PlainText"/>
              <w:spacing w:before="0"/>
              <w:jc w:val="center"/>
              <w:rPr>
                <w:b/>
                <w:bCs/>
                <w:color w:val="808080"/>
              </w:rPr>
            </w:pPr>
            <w:r>
              <w:rPr>
                <w:b/>
                <w:bCs/>
                <w:color w:val="808080"/>
              </w:rPr>
              <w:t>185 Albany St</w:t>
            </w:r>
          </w:p>
          <w:p w:rsidR="00677A27" w:rsidRDefault="00677A27">
            <w:pPr>
              <w:pStyle w:val="PlainText"/>
              <w:spacing w:before="0"/>
              <w:jc w:val="center"/>
              <w:rPr>
                <w:b/>
                <w:bCs/>
                <w:color w:val="808080"/>
              </w:rPr>
            </w:pPr>
            <w:r>
              <w:rPr>
                <w:b/>
                <w:bCs/>
                <w:color w:val="808080"/>
              </w:rPr>
              <w:t>Cambridge, MA 02139</w:t>
            </w:r>
          </w:p>
          <w:p w:rsidR="00677A27" w:rsidRDefault="00677A27">
            <w:pPr>
              <w:pStyle w:val="PlainText"/>
              <w:spacing w:before="0"/>
              <w:jc w:val="center"/>
              <w:rPr>
                <w:color w:val="808080"/>
              </w:rPr>
            </w:pPr>
            <w:r>
              <w:rPr>
                <w:color w:val="808080"/>
              </w:rPr>
              <w:t>Phone (617) 253-4824</w:t>
            </w:r>
          </w:p>
          <w:p w:rsidR="00677A27" w:rsidRDefault="00677A27">
            <w:pPr>
              <w:pStyle w:val="PlainText"/>
              <w:spacing w:before="0"/>
              <w:jc w:val="center"/>
              <w:rPr>
                <w:color w:val="808080"/>
              </w:rPr>
            </w:pPr>
            <w:r>
              <w:rPr>
                <w:color w:val="808080"/>
              </w:rPr>
              <w:t>Fax (617) 253-7014</w:t>
            </w:r>
          </w:p>
          <w:p w:rsidR="00677A27" w:rsidRDefault="00677A27">
            <w:pPr>
              <w:pStyle w:val="PlainText"/>
              <w:spacing w:before="0"/>
              <w:jc w:val="center"/>
              <w:rPr>
                <w:color w:val="808080"/>
              </w:rPr>
            </w:pPr>
            <w:r>
              <w:rPr>
                <w:color w:val="808080"/>
              </w:rPr>
              <w:t>E-mail: info@ligo.mit.edu</w:t>
            </w:r>
          </w:p>
        </w:tc>
      </w:tr>
      <w:tr w:rsidR="00677A27">
        <w:tc>
          <w:tcPr>
            <w:tcW w:w="4909" w:type="dxa"/>
          </w:tcPr>
          <w:p w:rsidR="00677A27" w:rsidRDefault="00677A27">
            <w:pPr>
              <w:pStyle w:val="PlainText"/>
              <w:spacing w:before="0"/>
              <w:jc w:val="center"/>
              <w:rPr>
                <w:b/>
                <w:bCs/>
                <w:color w:val="808080"/>
              </w:rPr>
            </w:pPr>
          </w:p>
          <w:p w:rsidR="00677A27" w:rsidRDefault="00677A27">
            <w:pPr>
              <w:pStyle w:val="PlainText"/>
              <w:spacing w:before="0"/>
              <w:jc w:val="center"/>
              <w:rPr>
                <w:b/>
                <w:bCs/>
                <w:color w:val="808080"/>
              </w:rPr>
            </w:pPr>
            <w:r>
              <w:rPr>
                <w:b/>
                <w:bCs/>
                <w:color w:val="808080"/>
              </w:rPr>
              <w:t>LIGO Hanford Observatory</w:t>
            </w:r>
          </w:p>
          <w:p w:rsidR="00677A27" w:rsidRDefault="00677A27" w:rsidP="00677A27">
            <w:pPr>
              <w:pStyle w:val="PlainText"/>
              <w:spacing w:before="0"/>
              <w:jc w:val="center"/>
              <w:rPr>
                <w:b/>
                <w:bCs/>
                <w:color w:val="808080"/>
              </w:rPr>
            </w:pPr>
            <w:r>
              <w:rPr>
                <w:b/>
                <w:bCs/>
                <w:color w:val="808080"/>
              </w:rPr>
              <w:t>P.O. Box 159</w:t>
            </w:r>
          </w:p>
          <w:p w:rsidR="00677A27" w:rsidRDefault="00677A27">
            <w:pPr>
              <w:pStyle w:val="PlainText"/>
              <w:spacing w:before="0"/>
              <w:jc w:val="center"/>
              <w:rPr>
                <w:b/>
                <w:bCs/>
                <w:color w:val="808080"/>
              </w:rPr>
            </w:pPr>
            <w:r>
              <w:rPr>
                <w:b/>
                <w:bCs/>
                <w:color w:val="808080"/>
              </w:rPr>
              <w:t>Richland WA 99352</w:t>
            </w:r>
          </w:p>
          <w:p w:rsidR="00677A27" w:rsidRDefault="00677A27">
            <w:pPr>
              <w:pStyle w:val="PlainText"/>
              <w:spacing w:before="0"/>
              <w:jc w:val="center"/>
              <w:rPr>
                <w:color w:val="808080"/>
              </w:rPr>
            </w:pPr>
            <w:r>
              <w:rPr>
                <w:color w:val="808080"/>
              </w:rPr>
              <w:t>Phone 509-372-8106</w:t>
            </w:r>
          </w:p>
          <w:p w:rsidR="00677A27" w:rsidRDefault="00677A27">
            <w:pPr>
              <w:pStyle w:val="PlainText"/>
              <w:spacing w:before="0"/>
              <w:jc w:val="center"/>
              <w:rPr>
                <w:b/>
                <w:bCs/>
                <w:color w:val="808080"/>
              </w:rPr>
            </w:pPr>
            <w:r>
              <w:rPr>
                <w:color w:val="808080"/>
              </w:rPr>
              <w:t>Fax 509-372-8137</w:t>
            </w:r>
          </w:p>
        </w:tc>
        <w:tc>
          <w:tcPr>
            <w:tcW w:w="4909" w:type="dxa"/>
          </w:tcPr>
          <w:p w:rsidR="00677A27" w:rsidRDefault="00677A27">
            <w:pPr>
              <w:pStyle w:val="PlainText"/>
              <w:spacing w:before="0"/>
              <w:jc w:val="center"/>
              <w:rPr>
                <w:b/>
                <w:bCs/>
                <w:color w:val="808080"/>
              </w:rPr>
            </w:pPr>
          </w:p>
          <w:p w:rsidR="00677A27" w:rsidRDefault="00677A27">
            <w:pPr>
              <w:pStyle w:val="PlainText"/>
              <w:spacing w:before="0"/>
              <w:jc w:val="center"/>
              <w:rPr>
                <w:b/>
                <w:bCs/>
                <w:color w:val="808080"/>
              </w:rPr>
            </w:pPr>
            <w:r>
              <w:rPr>
                <w:b/>
                <w:bCs/>
                <w:color w:val="808080"/>
              </w:rPr>
              <w:t>LIGO Livingston Observatory</w:t>
            </w:r>
          </w:p>
          <w:p w:rsidR="00677A27" w:rsidRDefault="00677A27">
            <w:pPr>
              <w:pStyle w:val="PlainText"/>
              <w:spacing w:before="0"/>
              <w:jc w:val="center"/>
              <w:rPr>
                <w:b/>
                <w:bCs/>
                <w:color w:val="808080"/>
              </w:rPr>
            </w:pPr>
            <w:r>
              <w:rPr>
                <w:b/>
                <w:bCs/>
                <w:color w:val="808080"/>
              </w:rPr>
              <w:t>P.O. Box 940</w:t>
            </w:r>
          </w:p>
          <w:p w:rsidR="00677A27" w:rsidRDefault="00677A27">
            <w:pPr>
              <w:pStyle w:val="PlainText"/>
              <w:spacing w:before="0"/>
              <w:jc w:val="center"/>
              <w:rPr>
                <w:b/>
                <w:bCs/>
                <w:color w:val="808080"/>
              </w:rPr>
            </w:pPr>
            <w:r>
              <w:rPr>
                <w:b/>
                <w:bCs/>
                <w:color w:val="808080"/>
              </w:rPr>
              <w:t>Livingston, LA  70754</w:t>
            </w:r>
          </w:p>
          <w:p w:rsidR="00677A27" w:rsidRDefault="00677A27">
            <w:pPr>
              <w:pStyle w:val="PlainText"/>
              <w:spacing w:before="0"/>
              <w:jc w:val="center"/>
              <w:rPr>
                <w:color w:val="808080"/>
              </w:rPr>
            </w:pPr>
            <w:r>
              <w:rPr>
                <w:color w:val="808080"/>
              </w:rPr>
              <w:t>Phone 225-686-3100</w:t>
            </w:r>
          </w:p>
          <w:p w:rsidR="00677A27" w:rsidRDefault="00677A27">
            <w:pPr>
              <w:pStyle w:val="PlainText"/>
              <w:spacing w:before="0"/>
              <w:jc w:val="center"/>
              <w:rPr>
                <w:b/>
                <w:bCs/>
                <w:color w:val="808080"/>
              </w:rPr>
            </w:pPr>
            <w:r>
              <w:rPr>
                <w:color w:val="808080"/>
              </w:rPr>
              <w:t>Fax 225-686-7189</w:t>
            </w:r>
          </w:p>
        </w:tc>
      </w:tr>
    </w:tbl>
    <w:p w:rsidR="00677A27" w:rsidRDefault="00677A27">
      <w:pPr>
        <w:pStyle w:val="PlainText"/>
        <w:jc w:val="center"/>
      </w:pPr>
      <w:r>
        <w:t>http://www.ligo.caltech.edu/</w:t>
      </w:r>
    </w:p>
    <w:p w:rsidR="00677A27" w:rsidRDefault="00677A27">
      <w:pPr>
        <w:pStyle w:val="Heading1"/>
      </w:pPr>
      <w:r>
        <w:br w:type="page"/>
      </w:r>
      <w:r>
        <w:lastRenderedPageBreak/>
        <w:t>Introduction</w:t>
      </w:r>
    </w:p>
    <w:p w:rsidR="00677A27" w:rsidRDefault="00337E8C">
      <w:r>
        <w:t>The purpose of this document is to briefly describe the noise budget for the sources of spurious defocus error in the HWS probe beam.</w:t>
      </w:r>
    </w:p>
    <w:p w:rsidR="00677A27" w:rsidRDefault="00337E8C">
      <w:pPr>
        <w:pStyle w:val="Heading1"/>
      </w:pPr>
      <w:r>
        <w:t>Background</w:t>
      </w:r>
    </w:p>
    <w:p w:rsidR="00337E8C" w:rsidRDefault="00337E8C">
      <w:r>
        <w:t xml:space="preserve">The defocus, </w:t>
      </w:r>
      <w:r w:rsidRPr="00337E8C">
        <w:rPr>
          <w:i/>
        </w:rPr>
        <w:t>S</w:t>
      </w:r>
      <w:r>
        <w:t xml:space="preserve">, (defined implicitly as the coefficient of the quadratic term of </w:t>
      </w:r>
      <w:proofErr w:type="spellStart"/>
      <w:r>
        <w:t>wavefront</w:t>
      </w:r>
      <w:proofErr w:type="spellEnd"/>
      <w:r>
        <w:t xml:space="preserve"> distortion, </w:t>
      </w:r>
      <w:r>
        <w:rPr>
          <w:i/>
        </w:rPr>
        <w:t>W =0.5 S r</w:t>
      </w:r>
      <w:r>
        <w:rPr>
          <w:i/>
          <w:vertAlign w:val="superscript"/>
        </w:rPr>
        <w:t>2</w:t>
      </w:r>
      <w:r>
        <w:t xml:space="preserve">), is the inverse of the radius of curvature of an optic. It allows for linear addition of different defocus terms to determine the resulting defocus, </w:t>
      </w:r>
    </w:p>
    <w:p w:rsidR="00337E8C" w:rsidRDefault="00337E8C" w:rsidP="00337E8C">
      <w:pPr>
        <w:jc w:val="center"/>
      </w:pPr>
      <w:r w:rsidRPr="00337E8C">
        <w:rPr>
          <w:position w:val="-8"/>
        </w:rPr>
        <w:object w:dxaOrig="132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75pt;height:14.25pt" o:ole="">
            <v:imagedata r:id="rId7" o:title=""/>
          </v:shape>
          <o:OLEObject Type="Embed" ProgID="Equation.3" ShapeID="_x0000_i1027" DrawAspect="Content" ObjectID="_1384067335" r:id="rId8"/>
        </w:object>
      </w:r>
    </w:p>
    <w:p w:rsidR="00A4395E" w:rsidRDefault="00337E8C">
      <w:r>
        <w:t>which is easier to deal with, rather than working with</w:t>
      </w:r>
      <w:r w:rsidR="00A4395E">
        <w:t xml:space="preserve"> all the inverses associated with</w:t>
      </w:r>
      <w:r>
        <w:t xml:space="preserve"> radii of curvature</w:t>
      </w:r>
      <w:r w:rsidR="00A4395E">
        <w:t xml:space="preserve"> changes</w:t>
      </w:r>
      <w:r>
        <w:t>:</w:t>
      </w:r>
    </w:p>
    <w:p w:rsidR="00B22078" w:rsidRDefault="00A4395E" w:rsidP="00B22078">
      <w:pPr>
        <w:jc w:val="center"/>
      </w:pPr>
      <w:r w:rsidRPr="00A4395E">
        <w:rPr>
          <w:position w:val="-56"/>
        </w:rPr>
        <w:object w:dxaOrig="1520" w:dyaOrig="920">
          <v:shape id="_x0000_i1028" type="#_x0000_t75" style="width:75.75pt;height:45.75pt" o:ole="">
            <v:imagedata r:id="rId9" o:title=""/>
          </v:shape>
          <o:OLEObject Type="Embed" ProgID="Equation.3" ShapeID="_x0000_i1028" DrawAspect="Content" ObjectID="_1384067336" r:id="rId10"/>
        </w:object>
      </w:r>
    </w:p>
    <w:p w:rsidR="00677A27" w:rsidRPr="00337E8C" w:rsidRDefault="00B22078" w:rsidP="00B22078">
      <w:pPr>
        <w:jc w:val="left"/>
      </w:pPr>
      <w:r>
        <w:t>Defocus is the lowest order characterization of thermal distortion in the test mass (excluding pitch and yaw variations). Therefore, it is useful to know the noise budget for the defocus in the HWS.</w:t>
      </w:r>
    </w:p>
    <w:p w:rsidR="00B22078" w:rsidRDefault="00B22078">
      <w:pPr>
        <w:pStyle w:val="Heading1"/>
      </w:pPr>
      <w:r>
        <w:t>Defocus contribution</w:t>
      </w:r>
    </w:p>
    <w:p w:rsidR="003F2AA5" w:rsidRDefault="00B22078" w:rsidP="00B22078">
      <w:pPr>
        <w:pStyle w:val="Heading2"/>
      </w:pPr>
      <w:r>
        <w:t xml:space="preserve">Photo-electron </w:t>
      </w:r>
      <w:r w:rsidR="003F2AA5">
        <w:t>shot noise</w:t>
      </w:r>
    </w:p>
    <w:p w:rsidR="002C4B94" w:rsidRDefault="002C4B94" w:rsidP="003F2AA5">
      <w:r>
        <w:t>In 1D, t</w:t>
      </w:r>
      <w:r w:rsidR="003F2AA5">
        <w:t>he gradient measured at a single location on the Hartmann sensor</w:t>
      </w:r>
      <w:proofErr w:type="gramStart"/>
      <w:r>
        <w:t xml:space="preserve">, </w:t>
      </w:r>
      <w:proofErr w:type="gramEnd"/>
      <w:r w:rsidRPr="002C4B94">
        <w:rPr>
          <w:position w:val="-8"/>
        </w:rPr>
        <w:object w:dxaOrig="220" w:dyaOrig="280">
          <v:shape id="_x0000_i1029" type="#_x0000_t75" style="width:11.25pt;height:14.25pt" o:ole="">
            <v:imagedata r:id="rId11" o:title=""/>
          </v:shape>
          <o:OLEObject Type="Embed" ProgID="Equation.3" ShapeID="_x0000_i1029" DrawAspect="Content" ObjectID="_1384067337" r:id="rId12"/>
        </w:object>
      </w:r>
      <w:r>
        <w:t>, is given by:</w:t>
      </w:r>
    </w:p>
    <w:p w:rsidR="002C4B94" w:rsidRDefault="00FE6412" w:rsidP="002C4B94">
      <w:pPr>
        <w:jc w:val="center"/>
      </w:pPr>
      <w:r w:rsidRPr="002C4B94">
        <w:rPr>
          <w:position w:val="-20"/>
        </w:rPr>
        <w:object w:dxaOrig="820" w:dyaOrig="560">
          <v:shape id="_x0000_i1030" type="#_x0000_t75" style="width:41.25pt;height:27.75pt" o:ole="">
            <v:imagedata r:id="rId13" o:title=""/>
          </v:shape>
          <o:OLEObject Type="Embed" ProgID="Equation.3" ShapeID="_x0000_i1030" DrawAspect="Content" ObjectID="_1384067338" r:id="rId14"/>
        </w:object>
      </w:r>
      <w:r w:rsidR="002C4B94">
        <w:t>,</w:t>
      </w:r>
    </w:p>
    <w:p w:rsidR="0024266C" w:rsidRDefault="002C4B94" w:rsidP="002C4B94">
      <w:pPr>
        <w:jc w:val="left"/>
      </w:pPr>
      <w:proofErr w:type="gramStart"/>
      <w:r>
        <w:t>where</w:t>
      </w:r>
      <w:proofErr w:type="gramEnd"/>
      <w:r>
        <w:t xml:space="preserve"> </w:t>
      </w:r>
      <w:r w:rsidR="00FE6412" w:rsidRPr="00FE6412">
        <w:rPr>
          <w:position w:val="-6"/>
        </w:rPr>
        <w:object w:dxaOrig="200" w:dyaOrig="200">
          <v:shape id="_x0000_i1031" type="#_x0000_t75" style="width:10.5pt;height:10.5pt" o:ole="">
            <v:imagedata r:id="rId15" o:title=""/>
          </v:shape>
          <o:OLEObject Type="Embed" ProgID="Equation.3" ShapeID="_x0000_i1031" DrawAspect="Content" ObjectID="_1384067339" r:id="rId16"/>
        </w:object>
      </w:r>
      <w:r>
        <w:t xml:space="preserve"> is the pixel size, </w:t>
      </w:r>
      <w:r w:rsidRPr="002C4B94">
        <w:rPr>
          <w:position w:val="-2"/>
        </w:rPr>
        <w:object w:dxaOrig="160" w:dyaOrig="140">
          <v:shape id="_x0000_i1032" type="#_x0000_t75" style="width:8.25pt;height:6.75pt" o:ole="">
            <v:imagedata r:id="rId17" o:title=""/>
          </v:shape>
          <o:OLEObject Type="Embed" ProgID="Equation.3" ShapeID="_x0000_i1032" DrawAspect="Content" ObjectID="_1384067340" r:id="rId18"/>
        </w:object>
      </w:r>
      <w:r>
        <w:t xml:space="preserve"> is the displacement of the spot (in pixels) and </w:t>
      </w:r>
      <w:r>
        <w:rPr>
          <w:i/>
        </w:rPr>
        <w:t>L</w:t>
      </w:r>
      <w:r>
        <w:t xml:space="preserve"> is the lever arm distance between the Hartmann plate and the CCD</w:t>
      </w:r>
      <w:r w:rsidR="00B44141">
        <w:t xml:space="preserve"> (=11mm)</w:t>
      </w:r>
      <w:r>
        <w:t xml:space="preserve">. The uncertainty in the displacement of the spot is approximately given by </w:t>
      </w:r>
      <w:r w:rsidR="0024266C" w:rsidRPr="0024266C">
        <w:rPr>
          <w:position w:val="-20"/>
        </w:rPr>
        <w:object w:dxaOrig="620" w:dyaOrig="480">
          <v:shape id="_x0000_i1033" type="#_x0000_t75" style="width:30.75pt;height:24pt" o:ole="">
            <v:imagedata r:id="rId19" o:title=""/>
          </v:shape>
          <o:OLEObject Type="Embed" ProgID="Equation.3" ShapeID="_x0000_i1033" DrawAspect="Content" ObjectID="_1384067341" r:id="rId20"/>
        </w:object>
      </w:r>
      <w:r w:rsidR="0024266C">
        <w:t xml:space="preserve"> where </w:t>
      </w:r>
      <w:r w:rsidR="0024266C">
        <w:rPr>
          <w:i/>
        </w:rPr>
        <w:t>N</w:t>
      </w:r>
      <w:r w:rsidR="0024266C">
        <w:t xml:space="preserve"> is the maximum number of photo-electrons stored in a pixel per measurement (~160,000 e</w:t>
      </w:r>
      <w:r w:rsidR="0024266C">
        <w:rPr>
          <w:vertAlign w:val="superscript"/>
        </w:rPr>
        <w:t>-</w:t>
      </w:r>
      <w:r w:rsidR="0024266C">
        <w:t xml:space="preserve"> for the </w:t>
      </w:r>
      <w:proofErr w:type="spellStart"/>
      <w:r w:rsidR="0024266C">
        <w:t>Dalsa</w:t>
      </w:r>
      <w:proofErr w:type="spellEnd"/>
      <w:r w:rsidR="0024266C">
        <w:t xml:space="preserve"> 1M60 cameras used in the HWS). The error in the gradient is then:</w:t>
      </w:r>
    </w:p>
    <w:p w:rsidR="0024266C" w:rsidRDefault="00FE6412" w:rsidP="0024266C">
      <w:pPr>
        <w:jc w:val="center"/>
      </w:pPr>
      <w:r w:rsidRPr="0024266C">
        <w:rPr>
          <w:position w:val="-28"/>
        </w:rPr>
        <w:object w:dxaOrig="1220" w:dyaOrig="640">
          <v:shape id="_x0000_i1034" type="#_x0000_t75" style="width:60.75pt;height:31.5pt" o:ole="">
            <v:imagedata r:id="rId21" o:title=""/>
          </v:shape>
          <o:OLEObject Type="Embed" ProgID="Equation.3" ShapeID="_x0000_i1034" DrawAspect="Content" ObjectID="_1384067342" r:id="rId22"/>
        </w:object>
      </w:r>
      <w:r w:rsidR="0024266C">
        <w:t>.</w:t>
      </w:r>
    </w:p>
    <w:p w:rsidR="00001CC4" w:rsidRDefault="0024266C" w:rsidP="0024266C">
      <w:pPr>
        <w:jc w:val="left"/>
      </w:pPr>
      <w:r>
        <w:t xml:space="preserve">The HWS measures the gradient of any </w:t>
      </w:r>
      <w:proofErr w:type="spellStart"/>
      <w:r>
        <w:t>wavefront</w:t>
      </w:r>
      <w:proofErr w:type="spellEnd"/>
      <w:r>
        <w:t xml:space="preserve"> change</w:t>
      </w:r>
      <w:r w:rsidR="00001CC4">
        <w:t xml:space="preserve">, </w:t>
      </w:r>
      <w:r w:rsidR="00001CC4" w:rsidRPr="00001CC4">
        <w:rPr>
          <w:position w:val="-20"/>
        </w:rPr>
        <w:object w:dxaOrig="440" w:dyaOrig="560">
          <v:shape id="_x0000_i1035" type="#_x0000_t75" style="width:22.5pt;height:27.75pt" o:ole="">
            <v:imagedata r:id="rId23" o:title=""/>
          </v:shape>
          <o:OLEObject Type="Embed" ProgID="Equation.3" ShapeID="_x0000_i1035" DrawAspect="Content" ObjectID="_1384067343" r:id="rId24"/>
        </w:object>
      </w:r>
      <w:r w:rsidR="00001CC4">
        <w:t xml:space="preserve"> in 1D</w:t>
      </w:r>
      <w:r>
        <w:t xml:space="preserve">. </w:t>
      </w:r>
      <w:r w:rsidR="00001CC4">
        <w:t xml:space="preserve">A purely quadratic </w:t>
      </w:r>
      <w:proofErr w:type="spellStart"/>
      <w:r w:rsidR="00001CC4">
        <w:t>wavefront</w:t>
      </w:r>
      <w:proofErr w:type="spellEnd"/>
      <w:r w:rsidR="00001CC4">
        <w:t xml:space="preserve"> change then has a gradient:</w:t>
      </w:r>
    </w:p>
    <w:p w:rsidR="00001CC4" w:rsidRDefault="00A40793" w:rsidP="00001CC4">
      <w:pPr>
        <w:jc w:val="center"/>
      </w:pPr>
      <w:r w:rsidRPr="00A40793">
        <w:rPr>
          <w:position w:val="-20"/>
        </w:rPr>
        <w:pict>
          <v:shape id="_x0000_i1036" type="#_x0000_t75" style="width:65.25pt;height:27.75pt">
            <v:imagedata r:id="rId25" o:title=""/>
          </v:shape>
        </w:pict>
      </w:r>
      <w:r w:rsidR="00001CC4">
        <w:t>.</w:t>
      </w:r>
    </w:p>
    <w:p w:rsidR="00FE6412" w:rsidRDefault="00001CC4" w:rsidP="00001CC4">
      <w:pPr>
        <w:jc w:val="left"/>
      </w:pPr>
      <w:r>
        <w:t xml:space="preserve">We find that if we have a set of measurements of the gradient that are equally noisy, are uniformly distributed across an aperture of diameter, </w:t>
      </w:r>
      <w:r>
        <w:rPr>
          <w:i/>
        </w:rPr>
        <w:t>d</w:t>
      </w:r>
      <w:r>
        <w:t xml:space="preserve">, and separated by a </w:t>
      </w:r>
      <w:r w:rsidR="00FE6412">
        <w:t xml:space="preserve">pitch </w:t>
      </w:r>
      <w:r w:rsidR="00FE6412">
        <w:rPr>
          <w:i/>
        </w:rPr>
        <w:t>p</w:t>
      </w:r>
      <w:r w:rsidR="00FE6412">
        <w:t xml:space="preserve"> then the standard error in a fit to </w:t>
      </w:r>
      <w:r w:rsidR="00FE6412">
        <w:rPr>
          <w:i/>
        </w:rPr>
        <w:t>S</w:t>
      </w:r>
      <w:r w:rsidR="00FE6412">
        <w:t xml:space="preserve"> is</w:t>
      </w:r>
      <w:r w:rsidR="00B44141">
        <w:t xml:space="preserve"> approximately</w:t>
      </w:r>
      <w:r w:rsidR="00E2183E">
        <w:t xml:space="preserve"> </w:t>
      </w:r>
      <w:r w:rsidR="00E2183E">
        <w:rPr>
          <w:color w:val="FF0000"/>
        </w:rPr>
        <w:t xml:space="preserve">(note: where does the factor </w:t>
      </w:r>
      <w:proofErr w:type="spellStart"/>
      <w:r w:rsidR="00E2183E">
        <w:rPr>
          <w:color w:val="FF0000"/>
        </w:rPr>
        <w:t>sqr</w:t>
      </w:r>
      <w:proofErr w:type="spellEnd"/>
      <w:r w:rsidR="00E2183E">
        <w:rPr>
          <w:color w:val="FF0000"/>
        </w:rPr>
        <w:t xml:space="preserve"> 12 come from?)</w:t>
      </w:r>
      <w:r w:rsidR="00FE6412">
        <w:t>:</w:t>
      </w:r>
    </w:p>
    <w:p w:rsidR="00FE6412" w:rsidRDefault="00FE6412" w:rsidP="00FE6412">
      <w:pPr>
        <w:jc w:val="center"/>
      </w:pPr>
      <w:r w:rsidRPr="00FE6412">
        <w:rPr>
          <w:position w:val="-20"/>
        </w:rPr>
        <w:object w:dxaOrig="1500" w:dyaOrig="620">
          <v:shape id="_x0000_i1037" type="#_x0000_t75" style="width:75pt;height:30.75pt" o:ole="">
            <v:imagedata r:id="rId26" o:title=""/>
          </v:shape>
          <o:OLEObject Type="Embed" ProgID="Equation.3" ShapeID="_x0000_i1037" DrawAspect="Content" ObjectID="_1384067344" r:id="rId27"/>
        </w:object>
      </w:r>
      <w:r>
        <w:t>.</w:t>
      </w:r>
    </w:p>
    <w:p w:rsidR="0024266C" w:rsidRPr="00FE6412" w:rsidRDefault="00B44141" w:rsidP="00FE6412">
      <w:pPr>
        <w:jc w:val="left"/>
      </w:pPr>
      <w:r>
        <w:t xml:space="preserve">For the HWS, the diameter of the CCD is 12.3mm and the pitch between the Hartmann plate holes is 430 </w:t>
      </w:r>
      <w:r>
        <w:sym w:font="Symbol" w:char="F06D"/>
      </w:r>
      <w:r>
        <w:t>m.</w:t>
      </w:r>
    </w:p>
    <w:p w:rsidR="00B44141" w:rsidRDefault="00B44141" w:rsidP="00B44141">
      <w:pPr>
        <w:pStyle w:val="Heading2"/>
      </w:pPr>
      <w:r>
        <w:t>Thermal expansion of the Hartmann sensor</w:t>
      </w:r>
    </w:p>
    <w:p w:rsidR="00B44141" w:rsidRDefault="00B44141" w:rsidP="00B44141">
      <w:r>
        <w:t xml:space="preserve">As the Hartmann plate and CCD thermally expand, the measured locations of the holes are displaced from their original positions by an amount that is proportional to the distance of the hole from the center of the plate. The result is an apparent linear change in the gradient of the </w:t>
      </w:r>
      <w:proofErr w:type="spellStart"/>
      <w:r>
        <w:t>wavefront</w:t>
      </w:r>
      <w:proofErr w:type="spellEnd"/>
      <w:r>
        <w:t xml:space="preserve"> and thus an apparent quadratic change in the</w:t>
      </w:r>
      <w:r w:rsidR="00234655">
        <w:t xml:space="preserve"> </w:t>
      </w:r>
      <w:proofErr w:type="spellStart"/>
      <w:r w:rsidR="00234655">
        <w:t>wavefront</w:t>
      </w:r>
      <w:proofErr w:type="spellEnd"/>
      <w:r w:rsidR="00234655">
        <w:t xml:space="preserve"> itself: a systematic defocus error.</w:t>
      </w:r>
    </w:p>
    <w:p w:rsidR="000C0492" w:rsidRDefault="00B44141" w:rsidP="00B44141">
      <w:r>
        <w:t>The magnitude o</w:t>
      </w:r>
      <w:r w:rsidR="000C0492">
        <w:t>f this effect, relative to temperature, is given, theoretically, by:</w:t>
      </w:r>
    </w:p>
    <w:p w:rsidR="000C0492" w:rsidRDefault="00A40793" w:rsidP="000C0492">
      <w:pPr>
        <w:jc w:val="center"/>
      </w:pPr>
      <w:r w:rsidRPr="00A40793">
        <w:rPr>
          <w:position w:val="-20"/>
        </w:rPr>
        <w:pict>
          <v:shape id="_x0000_i1038" type="#_x0000_t75" style="width:112.5pt;height:31.5pt">
            <v:imagedata r:id="rId28" o:title=""/>
          </v:shape>
        </w:pict>
      </w:r>
    </w:p>
    <w:p w:rsidR="00234655" w:rsidRDefault="000C0492" w:rsidP="000C0492">
      <w:pPr>
        <w:jc w:val="left"/>
      </w:pPr>
      <w:proofErr w:type="gramStart"/>
      <w:r>
        <w:t>where</w:t>
      </w:r>
      <w:proofErr w:type="gramEnd"/>
      <w:r>
        <w:t xml:space="preserve"> </w:t>
      </w:r>
      <w:r w:rsidRPr="000C0492">
        <w:rPr>
          <w:position w:val="-8"/>
        </w:rPr>
        <w:object w:dxaOrig="440" w:dyaOrig="280">
          <v:shape id="_x0000_i1039" type="#_x0000_t75" style="width:22.5pt;height:14.25pt" o:ole="">
            <v:imagedata r:id="rId29" o:title=""/>
          </v:shape>
          <o:OLEObject Type="Embed" ProgID="Equation.3" ShapeID="_x0000_i1039" DrawAspect="Content" ObjectID="_1384067345" r:id="rId30"/>
        </w:object>
      </w:r>
      <w:r>
        <w:t xml:space="preserve"> and </w:t>
      </w:r>
      <w:r w:rsidRPr="000C0492">
        <w:rPr>
          <w:position w:val="-8"/>
        </w:rPr>
        <w:object w:dxaOrig="500" w:dyaOrig="280">
          <v:shape id="_x0000_i1040" type="#_x0000_t75" style="width:25.5pt;height:14.25pt" o:ole="">
            <v:imagedata r:id="rId31" o:title=""/>
          </v:shape>
          <o:OLEObject Type="Embed" ProgID="Equation.3" ShapeID="_x0000_i1040" DrawAspect="Content" ObjectID="_1384067346" r:id="rId32"/>
        </w:object>
      </w:r>
      <w:r>
        <w:t xml:space="preserve"> are the coefficients of thermal expansion </w:t>
      </w:r>
      <w:r w:rsidR="000E6025">
        <w:t>of the Hartmann plate (Invar ~ 1.2</w:t>
      </w:r>
      <w:r w:rsidR="000E6025">
        <w:sym w:font="Symbol" w:char="F0B4"/>
      </w:r>
      <w:r w:rsidR="000E6025">
        <w:t>10</w:t>
      </w:r>
      <w:r w:rsidR="000E6025">
        <w:rPr>
          <w:vertAlign w:val="superscript"/>
        </w:rPr>
        <w:t>-6</w:t>
      </w:r>
      <w:r w:rsidR="000E6025">
        <w:t xml:space="preserve"> K</w:t>
      </w:r>
      <w:r w:rsidR="000E6025">
        <w:rPr>
          <w:vertAlign w:val="superscript"/>
        </w:rPr>
        <w:t>-1</w:t>
      </w:r>
      <w:r>
        <w:t>)</w:t>
      </w:r>
      <w:r w:rsidR="00234655">
        <w:t xml:space="preserve"> and the CCD</w:t>
      </w:r>
      <w:r w:rsidR="000E6025">
        <w:t xml:space="preserve"> (Silicon ~ 3</w:t>
      </w:r>
      <w:r w:rsidR="000E6025">
        <w:sym w:font="Symbol" w:char="F0B4"/>
      </w:r>
      <w:r w:rsidR="000E6025">
        <w:t>10</w:t>
      </w:r>
      <w:r w:rsidR="000E6025">
        <w:rPr>
          <w:vertAlign w:val="superscript"/>
        </w:rPr>
        <w:t>-6</w:t>
      </w:r>
      <w:r w:rsidR="000E6025">
        <w:t xml:space="preserve"> K</w:t>
      </w:r>
      <w:r w:rsidR="000E6025">
        <w:rPr>
          <w:vertAlign w:val="superscript"/>
        </w:rPr>
        <w:t>-1</w:t>
      </w:r>
      <w:r w:rsidR="000E6025">
        <w:t>)</w:t>
      </w:r>
      <w:r w:rsidR="00234655">
        <w:t>, respectively.</w:t>
      </w:r>
    </w:p>
    <w:p w:rsidR="00234655" w:rsidRDefault="00234655" w:rsidP="00234655">
      <w:pPr>
        <w:pStyle w:val="Heading2"/>
      </w:pPr>
      <w:r>
        <w:t>Thermal expansion of the imaging telescope</w:t>
      </w:r>
    </w:p>
    <w:p w:rsidR="00190B6D" w:rsidRDefault="00234655" w:rsidP="000C0492">
      <w:pPr>
        <w:jc w:val="left"/>
      </w:pPr>
      <w:r>
        <w:t xml:space="preserve">If the HWS imaging telescope thermally defocuses, a real defocus will be introduced into the probe beam. This </w:t>
      </w:r>
      <w:r w:rsidR="00190B6D">
        <w:t>is, however, a systematic error in the measurement of the defocus in the ITM. If the entire telescope is considered (including thermal expansion in the fused silica optics), the change in defocus with respect to temperature at the HWS is</w:t>
      </w:r>
      <w:r w:rsidR="00E2183E">
        <w:t xml:space="preserve"> </w:t>
      </w:r>
      <w:r w:rsidR="00E2183E">
        <w:rPr>
          <w:color w:val="FF0000"/>
        </w:rPr>
        <w:t>(note: show the terms that comprise this equation)</w:t>
      </w:r>
      <w:r w:rsidR="00190B6D">
        <w:t>:</w:t>
      </w:r>
    </w:p>
    <w:p w:rsidR="00190B6D" w:rsidRDefault="004E04E5" w:rsidP="00C87818">
      <w:pPr>
        <w:jc w:val="center"/>
      </w:pPr>
      <w:r w:rsidRPr="000C0492">
        <w:rPr>
          <w:position w:val="-20"/>
        </w:rPr>
        <w:object w:dxaOrig="2880" w:dyaOrig="600">
          <v:shape id="_x0000_i1041" type="#_x0000_t75" style="width:2in;height:30pt" o:ole="">
            <v:imagedata r:id="rId33" o:title=""/>
          </v:shape>
          <o:OLEObject Type="Embed" ProgID="Equation.3" ShapeID="_x0000_i1041" DrawAspect="Content" ObjectID="_1384067347" r:id="rId34"/>
        </w:object>
      </w:r>
    </w:p>
    <w:p w:rsidR="00B44141" w:rsidRDefault="00B44141" w:rsidP="000C0492">
      <w:pPr>
        <w:jc w:val="left"/>
      </w:pPr>
    </w:p>
    <w:p w:rsidR="004E04E5" w:rsidRDefault="004E04E5" w:rsidP="004E04E5">
      <w:pPr>
        <w:pStyle w:val="Heading1"/>
      </w:pPr>
      <w:r>
        <w:br w:type="page"/>
      </w:r>
      <w:r>
        <w:lastRenderedPageBreak/>
        <w:t>Results</w:t>
      </w:r>
    </w:p>
    <w:p w:rsidR="000E6025" w:rsidRDefault="000E6025" w:rsidP="004E04E5">
      <w:r>
        <w:t xml:space="preserve">A </w:t>
      </w:r>
      <w:r w:rsidR="004E04E5">
        <w:t>low frequency temperature spectrum was taken from LHO using 12 months of temperature data.</w:t>
      </w:r>
      <w:r>
        <w:t xml:space="preserve"> This was used to determine the temperature dependent contributions to defocus. The total defocus error is determined from the quadrature sum of the shot-noise defocus with the linear sum of the temperature dependent defocus effects.</w:t>
      </w:r>
    </w:p>
    <w:p w:rsidR="000E6025" w:rsidRDefault="000E6025" w:rsidP="004E04E5">
      <w:r>
        <w:t>The defocus at the ITM is the defocus at the HWS divided by the magnification (17.5</w:t>
      </w:r>
      <w:r>
        <w:sym w:font="Symbol" w:char="F0B4"/>
      </w:r>
      <w:r>
        <w:t>) squared.</w:t>
      </w:r>
    </w:p>
    <w:p w:rsidR="00C0543C" w:rsidRPr="00E2183E" w:rsidRDefault="000E6025" w:rsidP="004E04E5">
      <w:pPr>
        <w:rPr>
          <w:color w:val="FF0000"/>
        </w:rPr>
      </w:pPr>
      <w:r>
        <w:t xml:space="preserve">The results are presented in </w:t>
      </w:r>
      <w:r w:rsidR="00A40793">
        <w:fldChar w:fldCharType="begin"/>
      </w:r>
      <w:r w:rsidR="00A40793">
        <w:instrText xml:space="preserve"> REF _Ref182047969 \h </w:instrText>
      </w:r>
      <w:r w:rsidR="00A40793">
        <w:fldChar w:fldCharType="separate"/>
      </w:r>
      <w:r w:rsidR="00192118">
        <w:t xml:space="preserve">Figure </w:t>
      </w:r>
      <w:r w:rsidR="00192118">
        <w:rPr>
          <w:noProof/>
        </w:rPr>
        <w:t>1</w:t>
      </w:r>
      <w:r w:rsidR="00A40793">
        <w:fldChar w:fldCharType="end"/>
      </w:r>
      <w:r w:rsidR="00192118">
        <w:t>. In addition to the errors, the defocus expected from 4mW absorption, 400mW absorption and also the maximum tolerable defocus limit calculated in T1000722.</w:t>
      </w:r>
      <w:r w:rsidR="00E2183E">
        <w:t xml:space="preserve"> </w:t>
      </w:r>
      <w:r w:rsidR="00E2183E">
        <w:rPr>
          <w:color w:val="FF0000"/>
        </w:rPr>
        <w:t>(</w:t>
      </w:r>
      <w:proofErr w:type="gramStart"/>
      <w:r w:rsidR="00E2183E">
        <w:rPr>
          <w:color w:val="FF0000"/>
        </w:rPr>
        <w:t>note</w:t>
      </w:r>
      <w:proofErr w:type="gramEnd"/>
      <w:r w:rsidR="00E2183E">
        <w:rPr>
          <w:color w:val="FF0000"/>
        </w:rPr>
        <w:t>: state the conclusion of figure 1)</w:t>
      </w:r>
    </w:p>
    <w:p w:rsidR="00C0543C" w:rsidRDefault="00C0543C" w:rsidP="004E04E5"/>
    <w:p w:rsidR="00192118" w:rsidRDefault="006616C7" w:rsidP="00192118">
      <w:pPr>
        <w:keepNext/>
        <w:jc w:val="center"/>
      </w:pPr>
      <w:r>
        <w:rPr>
          <w:noProof/>
        </w:rPr>
        <w:drawing>
          <wp:inline distT="0" distB="0" distL="0" distR="0">
            <wp:extent cx="5956300" cy="4940300"/>
            <wp:effectExtent l="50800" t="25400" r="12700" b="12700"/>
            <wp:docPr id="61" name="Picture 61" descr="HWS_expected_performanceIT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WS_expected_performanceITM1"/>
                    <pic:cNvPicPr>
                      <a:picLocks noChangeAspect="1" noChangeArrowheads="1"/>
                    </pic:cNvPicPr>
                  </pic:nvPicPr>
                  <pic:blipFill>
                    <a:blip r:embed="rId35" cstate="print"/>
                    <a:srcRect l="8926" t="7445" r="9993" b="5775"/>
                    <a:stretch>
                      <a:fillRect/>
                    </a:stretch>
                  </pic:blipFill>
                  <pic:spPr bwMode="auto">
                    <a:xfrm>
                      <a:off x="0" y="0"/>
                      <a:ext cx="5956300" cy="4940300"/>
                    </a:xfrm>
                    <a:prstGeom prst="rect">
                      <a:avLst/>
                    </a:prstGeom>
                    <a:noFill/>
                    <a:ln w="6350" cmpd="sng">
                      <a:solidFill>
                        <a:srgbClr val="000000"/>
                      </a:solidFill>
                      <a:miter lim="800000"/>
                      <a:headEnd/>
                      <a:tailEnd/>
                    </a:ln>
                    <a:effectLst/>
                  </pic:spPr>
                </pic:pic>
              </a:graphicData>
            </a:graphic>
          </wp:inline>
        </w:drawing>
      </w:r>
    </w:p>
    <w:p w:rsidR="000E6025" w:rsidRDefault="00192118" w:rsidP="00192118">
      <w:pPr>
        <w:pStyle w:val="Caption"/>
        <w:jc w:val="center"/>
      </w:pPr>
      <w:bookmarkStart w:id="0" w:name="_Ref182047969"/>
      <w:r>
        <w:t xml:space="preserve">Figure </w:t>
      </w:r>
      <w:fldSimple w:instr=" SEQ Figure \* ARABIC ">
        <w:r w:rsidR="004A555C">
          <w:rPr>
            <w:noProof/>
          </w:rPr>
          <w:t>1</w:t>
        </w:r>
      </w:fldSimple>
      <w:bookmarkEnd w:id="0"/>
      <w:r>
        <w:t>: Defocus error budget</w:t>
      </w:r>
    </w:p>
    <w:p w:rsidR="000E6025" w:rsidRDefault="000E6025" w:rsidP="004E04E5"/>
    <w:p w:rsidR="00192118" w:rsidRDefault="00192118" w:rsidP="00192118">
      <w:pPr>
        <w:pStyle w:val="Heading2"/>
      </w:pPr>
      <w:r>
        <w:lastRenderedPageBreak/>
        <w:t>Secondary beam and temperature stabilization of the HWS</w:t>
      </w:r>
    </w:p>
    <w:p w:rsidR="004A555C" w:rsidRDefault="00192118" w:rsidP="00192118">
      <w:r>
        <w:t xml:space="preserve">A second analysis was performed </w:t>
      </w:r>
      <w:r w:rsidR="004A555C">
        <w:t>assuming that the temperature of the HWS is stabilized by a factor of 5x and the secondary probe beam is used to reduce the systematic error from the telescope defocus by a factor of 5x.</w:t>
      </w:r>
    </w:p>
    <w:p w:rsidR="004A555C" w:rsidRDefault="004A555C" w:rsidP="00192118">
      <w:r>
        <w:t xml:space="preserve">The results are shown in </w:t>
      </w:r>
      <w:r w:rsidR="00A40793">
        <w:fldChar w:fldCharType="begin"/>
      </w:r>
      <w:r>
        <w:instrText xml:space="preserve"> REF _Ref182048344 \h </w:instrText>
      </w:r>
      <w:r w:rsidR="00A40793">
        <w:fldChar w:fldCharType="separate"/>
      </w:r>
      <w:r>
        <w:t xml:space="preserve">Figure </w:t>
      </w:r>
      <w:r>
        <w:rPr>
          <w:noProof/>
        </w:rPr>
        <w:t>2</w:t>
      </w:r>
      <w:r w:rsidR="00A40793">
        <w:fldChar w:fldCharType="end"/>
      </w:r>
      <w:r>
        <w:t>.</w:t>
      </w:r>
      <w:r w:rsidR="00E2183E">
        <w:t xml:space="preserve"> </w:t>
      </w:r>
      <w:r w:rsidR="00E2183E">
        <w:rPr>
          <w:color w:val="FF0000"/>
        </w:rPr>
        <w:t>(</w:t>
      </w:r>
      <w:proofErr w:type="gramStart"/>
      <w:r w:rsidR="00E2183E">
        <w:rPr>
          <w:color w:val="FF0000"/>
        </w:rPr>
        <w:t>note</w:t>
      </w:r>
      <w:proofErr w:type="gramEnd"/>
      <w:r w:rsidR="00E2183E">
        <w:rPr>
          <w:color w:val="FF0000"/>
        </w:rPr>
        <w:t>: state the conclusion of the improvement over figure 1, as shown in figure 2.)</w:t>
      </w:r>
    </w:p>
    <w:p w:rsidR="004A555C" w:rsidRDefault="004A555C" w:rsidP="00192118"/>
    <w:p w:rsidR="004A555C" w:rsidRDefault="006616C7" w:rsidP="004A555C">
      <w:pPr>
        <w:keepNext/>
      </w:pPr>
      <w:r>
        <w:rPr>
          <w:noProof/>
        </w:rPr>
        <w:drawing>
          <wp:inline distT="0" distB="0" distL="0" distR="0">
            <wp:extent cx="6070600" cy="4978400"/>
            <wp:effectExtent l="50800" t="25400" r="25400" b="0"/>
            <wp:docPr id="68" name="Picture 68" descr=":::requirements:T1000722 - defocus requirements:HWS_expected_performanceITM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quirements:T1000722 - defocus requirements:HWS_expected_performanceITM2.pdf"/>
                    <pic:cNvPicPr>
                      <a:picLocks noChangeAspect="1" noChangeArrowheads="1"/>
                    </pic:cNvPicPr>
                  </pic:nvPicPr>
                  <pic:blipFill>
                    <a:blip r:embed="rId36" cstate="print"/>
                    <a:srcRect l="7655" t="5171" r="9531" b="7133"/>
                    <a:stretch>
                      <a:fillRect/>
                    </a:stretch>
                  </pic:blipFill>
                  <pic:spPr bwMode="auto">
                    <a:xfrm>
                      <a:off x="0" y="0"/>
                      <a:ext cx="6070600" cy="4978400"/>
                    </a:xfrm>
                    <a:prstGeom prst="rect">
                      <a:avLst/>
                    </a:prstGeom>
                    <a:noFill/>
                    <a:ln w="6350" cmpd="sng">
                      <a:solidFill>
                        <a:srgbClr val="000000"/>
                      </a:solidFill>
                      <a:miter lim="800000"/>
                      <a:headEnd/>
                      <a:tailEnd/>
                    </a:ln>
                    <a:effectLst/>
                  </pic:spPr>
                </pic:pic>
              </a:graphicData>
            </a:graphic>
          </wp:inline>
        </w:drawing>
      </w:r>
    </w:p>
    <w:p w:rsidR="00677A27" w:rsidRPr="00192118" w:rsidRDefault="004A555C" w:rsidP="004A555C">
      <w:pPr>
        <w:pStyle w:val="Caption"/>
      </w:pPr>
      <w:bookmarkStart w:id="1" w:name="_Ref182048344"/>
      <w:r>
        <w:t xml:space="preserve">Figure </w:t>
      </w:r>
      <w:fldSimple w:instr=" SEQ Figure \* ARABIC ">
        <w:r>
          <w:rPr>
            <w:noProof/>
          </w:rPr>
          <w:t>2</w:t>
        </w:r>
      </w:fldSimple>
      <w:bookmarkEnd w:id="1"/>
      <w:r>
        <w:t>: Defocus error budget with temperature stabilized HWS and secondary HWS beam used to eliminate 80% of the defocus error from the telescope.</w:t>
      </w:r>
    </w:p>
    <w:p w:rsidR="00677A27" w:rsidRDefault="00677A27"/>
    <w:sectPr w:rsidR="00677A27" w:rsidSect="00A40793">
      <w:headerReference w:type="default" r:id="rId37"/>
      <w:footerReference w:type="even" r:id="rId38"/>
      <w:footerReference w:type="default" r:id="rId39"/>
      <w:headerReference w:type="first" r:id="rId40"/>
      <w:type w:val="continuous"/>
      <w:pgSz w:w="12240" w:h="15840" w:code="1"/>
      <w:pgMar w:top="1440" w:right="1325" w:bottom="1440" w:left="132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18" w:rsidRDefault="00192118">
      <w:r>
        <w:separator/>
      </w:r>
    </w:p>
  </w:endnote>
  <w:endnote w:type="continuationSeparator" w:id="0">
    <w:p w:rsidR="00192118" w:rsidRDefault="00192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18" w:rsidRDefault="00A40793">
    <w:pPr>
      <w:pStyle w:val="Footer"/>
      <w:framePr w:wrap="around" w:vAnchor="text" w:hAnchor="margin" w:xAlign="right" w:y="1"/>
      <w:rPr>
        <w:rStyle w:val="PageNumber"/>
      </w:rPr>
    </w:pPr>
    <w:r>
      <w:rPr>
        <w:rStyle w:val="PageNumber"/>
      </w:rPr>
      <w:fldChar w:fldCharType="begin"/>
    </w:r>
    <w:r w:rsidR="00192118">
      <w:rPr>
        <w:rStyle w:val="PageNumber"/>
      </w:rPr>
      <w:instrText xml:space="preserve">PAGE  </w:instrText>
    </w:r>
    <w:r>
      <w:rPr>
        <w:rStyle w:val="PageNumber"/>
      </w:rPr>
      <w:fldChar w:fldCharType="end"/>
    </w:r>
  </w:p>
  <w:p w:rsidR="00192118" w:rsidRDefault="001921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18" w:rsidRDefault="00A40793">
    <w:pPr>
      <w:pStyle w:val="Footer"/>
      <w:framePr w:wrap="around" w:vAnchor="text" w:hAnchor="margin" w:xAlign="right" w:y="1"/>
      <w:jc w:val="center"/>
      <w:rPr>
        <w:rStyle w:val="PageNumber"/>
      </w:rPr>
    </w:pPr>
    <w:r>
      <w:rPr>
        <w:rStyle w:val="PageNumber"/>
      </w:rPr>
      <w:fldChar w:fldCharType="begin"/>
    </w:r>
    <w:r w:rsidR="00192118">
      <w:rPr>
        <w:rStyle w:val="PageNumber"/>
      </w:rPr>
      <w:instrText xml:space="preserve">PAGE  </w:instrText>
    </w:r>
    <w:r>
      <w:rPr>
        <w:rStyle w:val="PageNumber"/>
      </w:rPr>
      <w:fldChar w:fldCharType="separate"/>
    </w:r>
    <w:r w:rsidR="00E2183E">
      <w:rPr>
        <w:rStyle w:val="PageNumber"/>
        <w:noProof/>
      </w:rPr>
      <w:t>5</w:t>
    </w:r>
    <w:r>
      <w:rPr>
        <w:rStyle w:val="PageNumber"/>
      </w:rPr>
      <w:fldChar w:fldCharType="end"/>
    </w:r>
  </w:p>
  <w:p w:rsidR="00192118" w:rsidRDefault="001921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18" w:rsidRDefault="00192118">
      <w:r>
        <w:separator/>
      </w:r>
    </w:p>
  </w:footnote>
  <w:footnote w:type="continuationSeparator" w:id="0">
    <w:p w:rsidR="00192118" w:rsidRDefault="00192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18" w:rsidRDefault="00192118">
    <w:pPr>
      <w:pStyle w:val="Header"/>
      <w:tabs>
        <w:tab w:val="clear" w:pos="4320"/>
        <w:tab w:val="center" w:pos="4680"/>
      </w:tabs>
      <w:jc w:val="left"/>
      <w:rPr>
        <w:sz w:val="20"/>
      </w:rPr>
    </w:pPr>
    <w:r>
      <w:rPr>
        <w:b/>
        <w:bCs/>
        <w:i/>
        <w:iCs/>
        <w:color w:val="0000FF"/>
        <w:sz w:val="20"/>
      </w:rPr>
      <w:t>LIGO</w:t>
    </w:r>
    <w:r>
      <w:rPr>
        <w:sz w:val="20"/>
      </w:rPr>
      <w:tab/>
      <w:t>LIGO-T1100536-v1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18" w:rsidRDefault="00192118">
    <w:pPr>
      <w:pStyle w:val="Header"/>
      <w:jc w:val="right"/>
    </w:pPr>
    <w:r>
      <w:rPr>
        <w:b/>
        <w:caps/>
      </w:rPr>
      <w:t>Laser Interferometer Gravitational Wave Observatory</w:t>
    </w:r>
    <w:r>
      <w:rPr>
        <w:noProof/>
        <w:sz w:val="20"/>
      </w:rPr>
      <w:t xml:space="preserve"> </w:t>
    </w:r>
    <w:r w:rsidR="00A40793" w:rsidRPr="00A4079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8406734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F48B2"/>
    <w:rsid w:val="00001CC4"/>
    <w:rsid w:val="000C0492"/>
    <w:rsid w:val="000E6025"/>
    <w:rsid w:val="00190B6D"/>
    <w:rsid w:val="00192118"/>
    <w:rsid w:val="00234655"/>
    <w:rsid w:val="0024266C"/>
    <w:rsid w:val="002C4B94"/>
    <w:rsid w:val="00337E8C"/>
    <w:rsid w:val="003F2AA5"/>
    <w:rsid w:val="00475136"/>
    <w:rsid w:val="004A555C"/>
    <w:rsid w:val="004E04E5"/>
    <w:rsid w:val="005F48B2"/>
    <w:rsid w:val="006616C7"/>
    <w:rsid w:val="00677A27"/>
    <w:rsid w:val="00A40793"/>
    <w:rsid w:val="00A4395E"/>
    <w:rsid w:val="00B22078"/>
    <w:rsid w:val="00B44141"/>
    <w:rsid w:val="00B82381"/>
    <w:rsid w:val="00C0543C"/>
    <w:rsid w:val="00C87818"/>
    <w:rsid w:val="00E2183E"/>
    <w:rsid w:val="00FE1E77"/>
    <w:rsid w:val="00FE641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793"/>
    <w:pPr>
      <w:spacing w:before="120"/>
      <w:jc w:val="both"/>
    </w:pPr>
    <w:rPr>
      <w:sz w:val="24"/>
    </w:rPr>
  </w:style>
  <w:style w:type="paragraph" w:styleId="Heading1">
    <w:name w:val="heading 1"/>
    <w:basedOn w:val="Normal"/>
    <w:next w:val="Normal"/>
    <w:autoRedefine/>
    <w:qFormat/>
    <w:rsid w:val="00A40793"/>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A40793"/>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A40793"/>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A40793"/>
    <w:pPr>
      <w:keepNext/>
      <w:numPr>
        <w:ilvl w:val="3"/>
        <w:numId w:val="24"/>
      </w:numPr>
      <w:spacing w:before="240" w:after="60"/>
      <w:outlineLvl w:val="3"/>
    </w:pPr>
    <w:rPr>
      <w:rFonts w:ascii="Arial" w:hAnsi="Arial"/>
      <w:b/>
    </w:rPr>
  </w:style>
  <w:style w:type="paragraph" w:styleId="Heading5">
    <w:name w:val="heading 5"/>
    <w:basedOn w:val="Normal"/>
    <w:next w:val="Normal"/>
    <w:qFormat/>
    <w:rsid w:val="00A40793"/>
    <w:pPr>
      <w:keepNext/>
      <w:numPr>
        <w:ilvl w:val="4"/>
        <w:numId w:val="24"/>
      </w:numPr>
      <w:outlineLvl w:val="4"/>
    </w:pPr>
    <w:rPr>
      <w:b/>
    </w:rPr>
  </w:style>
  <w:style w:type="paragraph" w:styleId="Heading6">
    <w:name w:val="heading 6"/>
    <w:basedOn w:val="Normal"/>
    <w:next w:val="Normal"/>
    <w:qFormat/>
    <w:rsid w:val="00A40793"/>
    <w:pPr>
      <w:numPr>
        <w:ilvl w:val="5"/>
        <w:numId w:val="24"/>
      </w:numPr>
      <w:spacing w:before="240" w:after="60"/>
      <w:outlineLvl w:val="5"/>
    </w:pPr>
    <w:rPr>
      <w:i/>
      <w:sz w:val="22"/>
    </w:rPr>
  </w:style>
  <w:style w:type="paragraph" w:styleId="Heading7">
    <w:name w:val="heading 7"/>
    <w:basedOn w:val="Normal"/>
    <w:next w:val="Normal"/>
    <w:qFormat/>
    <w:rsid w:val="00A40793"/>
    <w:pPr>
      <w:numPr>
        <w:ilvl w:val="6"/>
        <w:numId w:val="24"/>
      </w:numPr>
      <w:spacing w:before="240" w:after="60"/>
      <w:outlineLvl w:val="6"/>
    </w:pPr>
    <w:rPr>
      <w:rFonts w:ascii="Arial" w:hAnsi="Arial"/>
      <w:sz w:val="20"/>
    </w:rPr>
  </w:style>
  <w:style w:type="paragraph" w:styleId="Heading8">
    <w:name w:val="heading 8"/>
    <w:basedOn w:val="Normal"/>
    <w:next w:val="Normal"/>
    <w:qFormat/>
    <w:rsid w:val="00A40793"/>
    <w:pPr>
      <w:numPr>
        <w:ilvl w:val="7"/>
        <w:numId w:val="24"/>
      </w:numPr>
      <w:spacing w:before="240" w:after="60"/>
      <w:outlineLvl w:val="7"/>
    </w:pPr>
    <w:rPr>
      <w:rFonts w:ascii="Arial" w:hAnsi="Arial"/>
      <w:i/>
      <w:sz w:val="20"/>
    </w:rPr>
  </w:style>
  <w:style w:type="paragraph" w:styleId="Heading9">
    <w:name w:val="heading 9"/>
    <w:basedOn w:val="Normal"/>
    <w:next w:val="Normal"/>
    <w:qFormat/>
    <w:rsid w:val="00A40793"/>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40793"/>
  </w:style>
  <w:style w:type="paragraph" w:styleId="DocumentMap">
    <w:name w:val="Document Map"/>
    <w:basedOn w:val="Normal"/>
    <w:semiHidden/>
    <w:rsid w:val="00A40793"/>
    <w:pPr>
      <w:shd w:val="clear" w:color="auto" w:fill="000080"/>
    </w:pPr>
    <w:rPr>
      <w:rFonts w:ascii="Tahoma" w:hAnsi="Tahoma"/>
    </w:rPr>
  </w:style>
  <w:style w:type="paragraph" w:customStyle="1" w:styleId="HTMLBody">
    <w:name w:val="HTML Body"/>
    <w:rsid w:val="00A40793"/>
    <w:rPr>
      <w:rFonts w:ascii="Courier New" w:hAnsi="Courier New"/>
      <w:snapToGrid w:val="0"/>
    </w:rPr>
  </w:style>
  <w:style w:type="paragraph" w:styleId="ListNumber">
    <w:name w:val="List Number"/>
    <w:basedOn w:val="Normal"/>
    <w:rsid w:val="00A40793"/>
    <w:pPr>
      <w:numPr>
        <w:numId w:val="1"/>
      </w:numPr>
    </w:pPr>
  </w:style>
  <w:style w:type="paragraph" w:styleId="ListNumber2">
    <w:name w:val="List Number 2"/>
    <w:basedOn w:val="Normal"/>
    <w:rsid w:val="00A40793"/>
    <w:pPr>
      <w:numPr>
        <w:numId w:val="2"/>
      </w:numPr>
    </w:pPr>
  </w:style>
  <w:style w:type="paragraph" w:styleId="ListBullet">
    <w:name w:val="List Bullet"/>
    <w:basedOn w:val="Normal"/>
    <w:autoRedefine/>
    <w:rsid w:val="00A40793"/>
    <w:pPr>
      <w:numPr>
        <w:numId w:val="5"/>
      </w:numPr>
    </w:pPr>
  </w:style>
  <w:style w:type="paragraph" w:styleId="Caption">
    <w:name w:val="caption"/>
    <w:basedOn w:val="Normal"/>
    <w:next w:val="Normal"/>
    <w:qFormat/>
    <w:rsid w:val="00A40793"/>
    <w:pPr>
      <w:spacing w:after="120"/>
    </w:pPr>
    <w:rPr>
      <w:b/>
    </w:rPr>
  </w:style>
  <w:style w:type="paragraph" w:styleId="Footer">
    <w:name w:val="footer"/>
    <w:basedOn w:val="Normal"/>
    <w:rsid w:val="00A40793"/>
    <w:pPr>
      <w:tabs>
        <w:tab w:val="center" w:pos="4320"/>
        <w:tab w:val="right" w:pos="8640"/>
      </w:tabs>
    </w:pPr>
  </w:style>
  <w:style w:type="character" w:styleId="PageNumber">
    <w:name w:val="page number"/>
    <w:basedOn w:val="DefaultParagraphFont"/>
    <w:rsid w:val="00A40793"/>
  </w:style>
  <w:style w:type="paragraph" w:styleId="Header">
    <w:name w:val="header"/>
    <w:basedOn w:val="Normal"/>
    <w:rsid w:val="00A40793"/>
    <w:pPr>
      <w:tabs>
        <w:tab w:val="center" w:pos="4320"/>
        <w:tab w:val="right" w:pos="8640"/>
      </w:tabs>
    </w:pPr>
  </w:style>
  <w:style w:type="paragraph" w:styleId="BodyText">
    <w:name w:val="Body Text"/>
    <w:basedOn w:val="Normal"/>
    <w:rsid w:val="00A40793"/>
    <w:pPr>
      <w:jc w:val="center"/>
    </w:pPr>
    <w:rPr>
      <w:rFonts w:ascii="Times" w:hAnsi="Times"/>
      <w:sz w:val="40"/>
    </w:rPr>
  </w:style>
  <w:style w:type="paragraph" w:styleId="TableofFigures">
    <w:name w:val="table of figures"/>
    <w:basedOn w:val="Normal"/>
    <w:next w:val="Normal"/>
    <w:semiHidden/>
    <w:rsid w:val="00A40793"/>
    <w:pPr>
      <w:spacing w:before="0"/>
      <w:jc w:val="left"/>
    </w:pPr>
    <w:rPr>
      <w:i/>
      <w:iCs/>
      <w:szCs w:val="24"/>
    </w:rPr>
  </w:style>
  <w:style w:type="character" w:styleId="Hyperlink">
    <w:name w:val="Hyperlink"/>
    <w:basedOn w:val="DefaultParagraphFont"/>
    <w:rsid w:val="00A40793"/>
    <w:rPr>
      <w:color w:val="0000FF"/>
      <w:u w:val="single"/>
    </w:rPr>
  </w:style>
  <w:style w:type="paragraph" w:styleId="TOC1">
    <w:name w:val="toc 1"/>
    <w:basedOn w:val="Normal"/>
    <w:next w:val="Normal"/>
    <w:autoRedefine/>
    <w:semiHidden/>
    <w:rsid w:val="00A40793"/>
    <w:pPr>
      <w:jc w:val="left"/>
    </w:pPr>
    <w:rPr>
      <w:b/>
      <w:bCs/>
      <w:i/>
      <w:iCs/>
      <w:szCs w:val="28"/>
    </w:rPr>
  </w:style>
  <w:style w:type="paragraph" w:styleId="TOC2">
    <w:name w:val="toc 2"/>
    <w:basedOn w:val="Normal"/>
    <w:next w:val="Normal"/>
    <w:autoRedefine/>
    <w:semiHidden/>
    <w:rsid w:val="00A40793"/>
    <w:pPr>
      <w:ind w:left="240"/>
      <w:jc w:val="left"/>
    </w:pPr>
    <w:rPr>
      <w:b/>
      <w:bCs/>
      <w:szCs w:val="26"/>
    </w:rPr>
  </w:style>
  <w:style w:type="paragraph" w:styleId="TOC3">
    <w:name w:val="toc 3"/>
    <w:basedOn w:val="Normal"/>
    <w:next w:val="Normal"/>
    <w:autoRedefine/>
    <w:semiHidden/>
    <w:rsid w:val="00A40793"/>
    <w:pPr>
      <w:spacing w:before="0"/>
      <w:ind w:left="480"/>
      <w:jc w:val="left"/>
    </w:pPr>
    <w:rPr>
      <w:szCs w:val="24"/>
    </w:rPr>
  </w:style>
  <w:style w:type="paragraph" w:styleId="TOC4">
    <w:name w:val="toc 4"/>
    <w:basedOn w:val="Normal"/>
    <w:next w:val="Normal"/>
    <w:autoRedefine/>
    <w:semiHidden/>
    <w:rsid w:val="00A40793"/>
    <w:pPr>
      <w:spacing w:before="0"/>
      <w:ind w:left="720"/>
      <w:jc w:val="left"/>
    </w:pPr>
    <w:rPr>
      <w:szCs w:val="24"/>
    </w:rPr>
  </w:style>
  <w:style w:type="paragraph" w:styleId="TOC5">
    <w:name w:val="toc 5"/>
    <w:basedOn w:val="Normal"/>
    <w:next w:val="Normal"/>
    <w:autoRedefine/>
    <w:semiHidden/>
    <w:rsid w:val="00A40793"/>
    <w:pPr>
      <w:spacing w:before="0"/>
      <w:ind w:left="960"/>
      <w:jc w:val="left"/>
    </w:pPr>
    <w:rPr>
      <w:szCs w:val="24"/>
    </w:rPr>
  </w:style>
  <w:style w:type="paragraph" w:styleId="TOC6">
    <w:name w:val="toc 6"/>
    <w:basedOn w:val="Normal"/>
    <w:next w:val="Normal"/>
    <w:autoRedefine/>
    <w:semiHidden/>
    <w:rsid w:val="00A40793"/>
    <w:pPr>
      <w:spacing w:before="0"/>
      <w:ind w:left="1200"/>
      <w:jc w:val="left"/>
    </w:pPr>
    <w:rPr>
      <w:szCs w:val="24"/>
    </w:rPr>
  </w:style>
  <w:style w:type="paragraph" w:styleId="TOC7">
    <w:name w:val="toc 7"/>
    <w:basedOn w:val="Normal"/>
    <w:next w:val="Normal"/>
    <w:autoRedefine/>
    <w:semiHidden/>
    <w:rsid w:val="00A40793"/>
    <w:pPr>
      <w:spacing w:before="0"/>
      <w:ind w:left="1440"/>
      <w:jc w:val="left"/>
    </w:pPr>
    <w:rPr>
      <w:szCs w:val="24"/>
    </w:rPr>
  </w:style>
  <w:style w:type="paragraph" w:styleId="TOC8">
    <w:name w:val="toc 8"/>
    <w:basedOn w:val="Normal"/>
    <w:next w:val="Normal"/>
    <w:autoRedefine/>
    <w:semiHidden/>
    <w:rsid w:val="00A40793"/>
    <w:pPr>
      <w:spacing w:before="0"/>
      <w:ind w:left="1680"/>
      <w:jc w:val="left"/>
    </w:pPr>
    <w:rPr>
      <w:szCs w:val="24"/>
    </w:rPr>
  </w:style>
  <w:style w:type="paragraph" w:styleId="TOC9">
    <w:name w:val="toc 9"/>
    <w:basedOn w:val="Normal"/>
    <w:next w:val="Normal"/>
    <w:autoRedefine/>
    <w:semiHidden/>
    <w:rsid w:val="00A40793"/>
    <w:pPr>
      <w:spacing w:before="0"/>
      <w:ind w:left="1920"/>
      <w:jc w:val="left"/>
    </w:pPr>
    <w:rPr>
      <w:szCs w:val="24"/>
    </w:rPr>
  </w:style>
  <w:style w:type="paragraph" w:styleId="FootnoteText">
    <w:name w:val="footnote text"/>
    <w:basedOn w:val="Normal"/>
    <w:semiHidden/>
    <w:rsid w:val="00A40793"/>
    <w:rPr>
      <w:sz w:val="20"/>
    </w:rPr>
  </w:style>
  <w:style w:type="character" w:styleId="FootnoteReference">
    <w:name w:val="footnote reference"/>
    <w:basedOn w:val="DefaultParagraphFont"/>
    <w:semiHidden/>
    <w:rsid w:val="00A40793"/>
    <w:rPr>
      <w:vertAlign w:val="superscript"/>
    </w:rPr>
  </w:style>
  <w:style w:type="character" w:styleId="CommentReference">
    <w:name w:val="annotation reference"/>
    <w:basedOn w:val="DefaultParagraphFont"/>
    <w:rsid w:val="000E6025"/>
    <w:rPr>
      <w:sz w:val="18"/>
      <w:szCs w:val="18"/>
    </w:rPr>
  </w:style>
  <w:style w:type="paragraph" w:styleId="CommentText">
    <w:name w:val="annotation text"/>
    <w:basedOn w:val="Normal"/>
    <w:link w:val="CommentTextChar"/>
    <w:rsid w:val="000E6025"/>
    <w:rPr>
      <w:szCs w:val="24"/>
    </w:rPr>
  </w:style>
  <w:style w:type="character" w:customStyle="1" w:styleId="CommentTextChar">
    <w:name w:val="Comment Text Char"/>
    <w:basedOn w:val="DefaultParagraphFont"/>
    <w:link w:val="CommentText"/>
    <w:rsid w:val="000E6025"/>
    <w:rPr>
      <w:sz w:val="24"/>
      <w:szCs w:val="24"/>
    </w:rPr>
  </w:style>
  <w:style w:type="paragraph" w:styleId="CommentSubject">
    <w:name w:val="annotation subject"/>
    <w:basedOn w:val="CommentText"/>
    <w:next w:val="CommentText"/>
    <w:link w:val="CommentSubjectChar"/>
    <w:rsid w:val="000E6025"/>
    <w:rPr>
      <w:b/>
      <w:bCs/>
      <w:sz w:val="20"/>
      <w:szCs w:val="20"/>
    </w:rPr>
  </w:style>
  <w:style w:type="character" w:customStyle="1" w:styleId="CommentSubjectChar">
    <w:name w:val="Comment Subject Char"/>
    <w:basedOn w:val="CommentTextChar"/>
    <w:link w:val="CommentSubject"/>
    <w:rsid w:val="000E6025"/>
    <w:rPr>
      <w:b/>
      <w:bCs/>
    </w:rPr>
  </w:style>
  <w:style w:type="paragraph" w:styleId="BalloonText">
    <w:name w:val="Balloon Text"/>
    <w:basedOn w:val="Normal"/>
    <w:link w:val="BalloonTextChar"/>
    <w:rsid w:val="000E6025"/>
    <w:pPr>
      <w:spacing w:before="0"/>
    </w:pPr>
    <w:rPr>
      <w:rFonts w:ascii="Lucida Grande" w:hAnsi="Lucida Grande"/>
      <w:sz w:val="18"/>
      <w:szCs w:val="18"/>
    </w:rPr>
  </w:style>
  <w:style w:type="character" w:customStyle="1" w:styleId="BalloonTextChar">
    <w:name w:val="Balloon Text Char"/>
    <w:basedOn w:val="DefaultParagraphFont"/>
    <w:link w:val="BalloonText"/>
    <w:rsid w:val="000E602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7.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smith</cp:lastModifiedBy>
  <cp:revision>2</cp:revision>
  <cp:lastPrinted>2011-11-04T23:13:00Z</cp:lastPrinted>
  <dcterms:created xsi:type="dcterms:W3CDTF">2011-11-29T18:10:00Z</dcterms:created>
  <dcterms:modified xsi:type="dcterms:W3CDTF">2011-11-29T18:10:00Z</dcterms:modified>
</cp:coreProperties>
</file>