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17C" w:rsidRDefault="00B93C6A">
      <w:pPr>
        <w:rPr>
          <w:rFonts w:ascii="Arial" w:hAnsi="Arial" w:cs="Arial"/>
        </w:rPr>
      </w:pPr>
      <w:r>
        <w:rPr>
          <w:rFonts w:ascii="Arial" w:hAnsi="Arial" w:cs="Arial"/>
          <w:noProof/>
          <w:sz w:val="20"/>
        </w:rPr>
        <mc:AlternateContent>
          <mc:Choice Requires="wps">
            <w:drawing>
              <wp:anchor distT="0" distB="0" distL="114300" distR="114300" simplePos="0" relativeHeight="251658240" behindDoc="0" locked="0" layoutInCell="1" allowOverlap="1" wp14:anchorId="5BB9B534" wp14:editId="7E69608E">
                <wp:simplePos x="0" y="0"/>
                <wp:positionH relativeFrom="column">
                  <wp:posOffset>571500</wp:posOffset>
                </wp:positionH>
                <wp:positionV relativeFrom="paragraph">
                  <wp:posOffset>-571500</wp:posOffset>
                </wp:positionV>
                <wp:extent cx="155448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9144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7517C" w:rsidRDefault="0087517C">
                            <w:pPr>
                              <w:rPr>
                                <w:rFonts w:ascii="Arial Black" w:hAnsi="Arial Black"/>
                                <w:bCs/>
                                <w:sz w:val="12"/>
                              </w:rPr>
                            </w:pPr>
                            <w:r>
                              <w:rPr>
                                <w:rFonts w:ascii="Arial Black" w:hAnsi="Arial Black"/>
                                <w:bCs/>
                                <w:sz w:val="12"/>
                              </w:rPr>
                              <w:t>LIGO LABORATORY</w:t>
                            </w:r>
                          </w:p>
                          <w:p w:rsidR="0087517C" w:rsidRDefault="0087517C" w:rsidP="009F6F3C">
                            <w:pPr>
                              <w:rPr>
                                <w:rFonts w:ascii="Arial" w:hAnsi="Arial"/>
                                <w:sz w:val="12"/>
                              </w:rPr>
                            </w:pPr>
                            <w:r>
                              <w:rPr>
                                <w:rFonts w:ascii="Arial" w:hAnsi="Arial"/>
                                <w:sz w:val="12"/>
                              </w:rPr>
                              <w:t>MS 1</w:t>
                            </w:r>
                            <w:r w:rsidR="009F6F3C">
                              <w:rPr>
                                <w:rFonts w:ascii="Arial" w:hAnsi="Arial"/>
                                <w:sz w:val="12"/>
                              </w:rPr>
                              <w:t>00-36</w:t>
                            </w:r>
                          </w:p>
                          <w:p w:rsidR="0087517C" w:rsidRDefault="0087517C" w:rsidP="001E7F12">
                            <w:pPr>
                              <w:rPr>
                                <w:rFonts w:ascii="Arial" w:hAnsi="Arial"/>
                                <w:sz w:val="12"/>
                              </w:rPr>
                            </w:pPr>
                            <w:proofErr w:type="gramStart"/>
                            <w:r>
                              <w:rPr>
                                <w:rFonts w:ascii="Arial" w:hAnsi="Arial"/>
                                <w:sz w:val="12"/>
                              </w:rPr>
                              <w:t>PASADENA</w:t>
                            </w:r>
                            <w:r w:rsidR="001E7F12">
                              <w:rPr>
                                <w:rFonts w:ascii="Arial" w:hAnsi="Arial"/>
                                <w:sz w:val="12"/>
                              </w:rPr>
                              <w:t xml:space="preserve"> </w:t>
                            </w:r>
                            <w:r>
                              <w:rPr>
                                <w:rFonts w:ascii="Arial" w:hAnsi="Arial"/>
                                <w:sz w:val="12"/>
                              </w:rPr>
                              <w:t xml:space="preserve"> CA</w:t>
                            </w:r>
                            <w:proofErr w:type="gramEnd"/>
                            <w:r>
                              <w:rPr>
                                <w:rFonts w:ascii="Arial" w:hAnsi="Arial"/>
                                <w:sz w:val="12"/>
                              </w:rPr>
                              <w:t xml:space="preserve">  91125</w:t>
                            </w:r>
                          </w:p>
                          <w:p w:rsidR="0087517C" w:rsidRDefault="0087517C">
                            <w:pPr>
                              <w:rPr>
                                <w:rFonts w:ascii="Arial" w:hAnsi="Arial"/>
                                <w:sz w:val="12"/>
                              </w:rPr>
                            </w:pPr>
                          </w:p>
                          <w:p w:rsidR="0087517C" w:rsidRDefault="0087517C" w:rsidP="009F6F3C">
                            <w:pPr>
                              <w:tabs>
                                <w:tab w:val="left" w:pos="360"/>
                              </w:tabs>
                              <w:rPr>
                                <w:rFonts w:ascii="Arial" w:hAnsi="Arial"/>
                                <w:sz w:val="12"/>
                              </w:rPr>
                            </w:pPr>
                            <w:r>
                              <w:rPr>
                                <w:rFonts w:ascii="Arial" w:hAnsi="Arial"/>
                                <w:sz w:val="12"/>
                              </w:rPr>
                              <w:t xml:space="preserve">TEL: </w:t>
                            </w:r>
                            <w:r w:rsidR="009F6F3C">
                              <w:rPr>
                                <w:rFonts w:ascii="Arial" w:hAnsi="Arial"/>
                                <w:sz w:val="12"/>
                              </w:rPr>
                              <w:tab/>
                            </w:r>
                            <w:r>
                              <w:rPr>
                                <w:rFonts w:ascii="Arial" w:hAnsi="Arial"/>
                                <w:sz w:val="12"/>
                              </w:rPr>
                              <w:t>626.395.2129</w:t>
                            </w:r>
                          </w:p>
                          <w:p w:rsidR="0087517C" w:rsidRDefault="0087517C" w:rsidP="009F6F3C">
                            <w:pPr>
                              <w:tabs>
                                <w:tab w:val="left" w:pos="360"/>
                              </w:tabs>
                              <w:rPr>
                                <w:rFonts w:ascii="Arial" w:hAnsi="Arial"/>
                                <w:sz w:val="16"/>
                              </w:rPr>
                            </w:pPr>
                            <w:r>
                              <w:rPr>
                                <w:rFonts w:ascii="Arial" w:hAnsi="Arial"/>
                                <w:sz w:val="12"/>
                              </w:rPr>
                              <w:t xml:space="preserve">FAX: </w:t>
                            </w:r>
                            <w:r w:rsidR="009F6F3C">
                              <w:rPr>
                                <w:rFonts w:ascii="Arial" w:hAnsi="Arial"/>
                                <w:sz w:val="12"/>
                              </w:rPr>
                              <w:tab/>
                            </w:r>
                            <w:r>
                              <w:rPr>
                                <w:rFonts w:ascii="Arial" w:hAnsi="Arial"/>
                                <w:sz w:val="12"/>
                              </w:rPr>
                              <w:t>626.304.9834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9B534" id="_x0000_t202" coordsize="21600,21600" o:spt="202" path="m,l,21600r21600,l21600,xe">
                <v:stroke joinstyle="miter"/>
                <v:path gradientshapeok="t" o:connecttype="rect"/>
              </v:shapetype>
              <v:shape id="Text Box 3" o:spid="_x0000_s1026" type="#_x0000_t202" style="position:absolute;margin-left:45pt;margin-top:-45pt;width:122.4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" stroked="f" strokeweight="0">
                <v:textbox>
                  <w:txbxContent>
                    <w:p w:rsidR="0087517C" w:rsidRDefault="0087517C">
                      <w:pPr>
                        <w:rPr>
                          <w:rFonts w:ascii="Arial Black" w:hAnsi="Arial Black"/>
                          <w:bCs/>
                          <w:sz w:val="12"/>
                        </w:rPr>
                      </w:pPr>
                      <w:r>
                        <w:rPr>
                          <w:rFonts w:ascii="Arial Black" w:hAnsi="Arial Black"/>
                          <w:bCs/>
                          <w:sz w:val="12"/>
                        </w:rPr>
                        <w:t>LIGO LABORATORY</w:t>
                      </w:r>
                    </w:p>
                    <w:p w:rsidR="0087517C" w:rsidRDefault="0087517C" w:rsidP="009F6F3C">
                      <w:pPr>
                        <w:rPr>
                          <w:rFonts w:ascii="Arial" w:hAnsi="Arial"/>
                          <w:sz w:val="12"/>
                        </w:rPr>
                      </w:pPr>
                      <w:r>
                        <w:rPr>
                          <w:rFonts w:ascii="Arial" w:hAnsi="Arial"/>
                          <w:sz w:val="12"/>
                        </w:rPr>
                        <w:t>MS 1</w:t>
                      </w:r>
                      <w:r w:rsidR="009F6F3C">
                        <w:rPr>
                          <w:rFonts w:ascii="Arial" w:hAnsi="Arial"/>
                          <w:sz w:val="12"/>
                        </w:rPr>
                        <w:t>00-36</w:t>
                      </w:r>
                    </w:p>
                    <w:p w:rsidR="0087517C" w:rsidRDefault="0087517C" w:rsidP="001E7F12">
                      <w:pPr>
                        <w:rPr>
                          <w:rFonts w:ascii="Arial" w:hAnsi="Arial"/>
                          <w:sz w:val="12"/>
                        </w:rPr>
                      </w:pPr>
                      <w:proofErr w:type="gramStart"/>
                      <w:r>
                        <w:rPr>
                          <w:rFonts w:ascii="Arial" w:hAnsi="Arial"/>
                          <w:sz w:val="12"/>
                        </w:rPr>
                        <w:t>PASADENA</w:t>
                      </w:r>
                      <w:r w:rsidR="001E7F12">
                        <w:rPr>
                          <w:rFonts w:ascii="Arial" w:hAnsi="Arial"/>
                          <w:sz w:val="12"/>
                        </w:rPr>
                        <w:t xml:space="preserve"> </w:t>
                      </w:r>
                      <w:r>
                        <w:rPr>
                          <w:rFonts w:ascii="Arial" w:hAnsi="Arial"/>
                          <w:sz w:val="12"/>
                        </w:rPr>
                        <w:t xml:space="preserve"> CA</w:t>
                      </w:r>
                      <w:proofErr w:type="gramEnd"/>
                      <w:r>
                        <w:rPr>
                          <w:rFonts w:ascii="Arial" w:hAnsi="Arial"/>
                          <w:sz w:val="12"/>
                        </w:rPr>
                        <w:t xml:space="preserve">  91125</w:t>
                      </w:r>
                    </w:p>
                    <w:p w:rsidR="0087517C" w:rsidRDefault="0087517C">
                      <w:pPr>
                        <w:rPr>
                          <w:rFonts w:ascii="Arial" w:hAnsi="Arial"/>
                          <w:sz w:val="12"/>
                        </w:rPr>
                      </w:pPr>
                    </w:p>
                    <w:p w:rsidR="0087517C" w:rsidRDefault="0087517C" w:rsidP="009F6F3C">
                      <w:pPr>
                        <w:tabs>
                          <w:tab w:val="left" w:pos="360"/>
                        </w:tabs>
                        <w:rPr>
                          <w:rFonts w:ascii="Arial" w:hAnsi="Arial"/>
                          <w:sz w:val="12"/>
                        </w:rPr>
                      </w:pPr>
                      <w:r>
                        <w:rPr>
                          <w:rFonts w:ascii="Arial" w:hAnsi="Arial"/>
                          <w:sz w:val="12"/>
                        </w:rPr>
                        <w:t xml:space="preserve">TEL: </w:t>
                      </w:r>
                      <w:r w:rsidR="009F6F3C">
                        <w:rPr>
                          <w:rFonts w:ascii="Arial" w:hAnsi="Arial"/>
                          <w:sz w:val="12"/>
                        </w:rPr>
                        <w:tab/>
                      </w:r>
                      <w:r>
                        <w:rPr>
                          <w:rFonts w:ascii="Arial" w:hAnsi="Arial"/>
                          <w:sz w:val="12"/>
                        </w:rPr>
                        <w:t>626.395.2129</w:t>
                      </w:r>
                    </w:p>
                    <w:p w:rsidR="0087517C" w:rsidRDefault="0087517C" w:rsidP="009F6F3C">
                      <w:pPr>
                        <w:tabs>
                          <w:tab w:val="left" w:pos="360"/>
                        </w:tabs>
                        <w:rPr>
                          <w:rFonts w:ascii="Arial" w:hAnsi="Arial"/>
                          <w:sz w:val="16"/>
                        </w:rPr>
                      </w:pPr>
                      <w:r>
                        <w:rPr>
                          <w:rFonts w:ascii="Arial" w:hAnsi="Arial"/>
                          <w:sz w:val="12"/>
                        </w:rPr>
                        <w:t xml:space="preserve">FAX: </w:t>
                      </w:r>
                      <w:r w:rsidR="009F6F3C">
                        <w:rPr>
                          <w:rFonts w:ascii="Arial" w:hAnsi="Arial"/>
                          <w:sz w:val="12"/>
                        </w:rPr>
                        <w:tab/>
                      </w:r>
                      <w:r>
                        <w:rPr>
                          <w:rFonts w:ascii="Arial" w:hAnsi="Arial"/>
                          <w:sz w:val="12"/>
                        </w:rPr>
                        <w:t>626.304.9834</w:t>
                      </w:r>
                    </w:p>
                  </w:txbxContent>
                </v:textbox>
              </v:shape>
            </w:pict>
          </mc:Fallback>
        </mc:AlternateContent>
      </w:r>
      <w:r w:rsidR="000B1651">
        <w:rPr>
          <w:rFonts w:ascii="Arial" w:hAnsi="Arial" w:cs="Arial"/>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0pt;margin-top:-1in;width:111.6pt;height:81.5pt;z-index:251657216;mso-position-horizontal-relative:text;mso-position-vertical-relative:text" o:allowincell="f" fillcolor="#d49fff" strokecolor="#114ffb" strokeweight="1pt">
            <v:stroke startarrowwidth="narrow" startarrowlength="short" endarrowwidth="narrow" endarrowlength="short"/>
            <v:imagedata r:id="rId8" o:title=""/>
            <v:shadow color="#cecece"/>
            <w10:wrap type="topAndBottom"/>
          </v:shape>
          <o:OLEObject Type="Embed" ProgID="Unknown" ShapeID="_x0000_s1026" DrawAspect="Content" ObjectID="_1459769986" r:id="rId9"/>
        </w:object>
      </w:r>
    </w:p>
    <w:p w:rsidR="0087517C" w:rsidRDefault="0087517C">
      <w:pPr>
        <w:pStyle w:val="Heading1"/>
        <w:rPr>
          <w:rFonts w:ascii="Arial" w:hAnsi="Arial" w:cs="Arial"/>
        </w:rPr>
      </w:pPr>
      <w:r>
        <w:rPr>
          <w:rFonts w:ascii="Arial" w:hAnsi="Arial" w:cs="Arial"/>
        </w:rPr>
        <w:t>MEMORANDUM</w:t>
      </w:r>
    </w:p>
    <w:p w:rsidR="0087517C" w:rsidRDefault="0087517C">
      <w:pPr>
        <w:tabs>
          <w:tab w:val="left" w:pos="1125"/>
        </w:tabs>
        <w:rPr>
          <w:rFonts w:ascii="Arial" w:hAnsi="Arial" w:cs="Arial"/>
        </w:rPr>
      </w:pPr>
    </w:p>
    <w:p w:rsidR="0087517C" w:rsidRPr="00AD09E5" w:rsidRDefault="00AD09E5">
      <w:pPr>
        <w:tabs>
          <w:tab w:val="left" w:pos="1125"/>
          <w:tab w:val="left" w:pos="1440"/>
        </w:tabs>
        <w:ind w:left="360"/>
        <w:rPr>
          <w:rFonts w:ascii="Arial" w:hAnsi="Arial" w:cs="Arial"/>
        </w:rPr>
      </w:pPr>
      <w:r w:rsidRPr="00AD09E5">
        <w:rPr>
          <w:rFonts w:ascii="Arial" w:hAnsi="Arial" w:cs="Arial"/>
        </w:rPr>
        <w:t xml:space="preserve">DATE:    </w:t>
      </w:r>
      <w:r w:rsidR="00AC28A9">
        <w:rPr>
          <w:rFonts w:ascii="Arial" w:hAnsi="Arial" w:cs="Arial"/>
        </w:rPr>
        <w:t>Monday</w:t>
      </w:r>
      <w:r w:rsidR="00155951">
        <w:rPr>
          <w:rFonts w:ascii="Arial" w:hAnsi="Arial" w:cs="Arial"/>
        </w:rPr>
        <w:t xml:space="preserve"> April</w:t>
      </w:r>
      <w:r w:rsidRPr="00AD09E5">
        <w:rPr>
          <w:rFonts w:ascii="Arial" w:hAnsi="Arial" w:cs="Arial"/>
        </w:rPr>
        <w:t xml:space="preserve"> 2</w:t>
      </w:r>
      <w:r w:rsidR="00155951">
        <w:rPr>
          <w:rFonts w:ascii="Arial" w:hAnsi="Arial" w:cs="Arial"/>
        </w:rPr>
        <w:t>3</w:t>
      </w:r>
      <w:r w:rsidR="00155951" w:rsidRPr="00155951">
        <w:rPr>
          <w:rFonts w:ascii="Arial" w:hAnsi="Arial" w:cs="Arial"/>
          <w:vertAlign w:val="superscript"/>
        </w:rPr>
        <w:t>rd</w:t>
      </w:r>
      <w:r w:rsidRPr="00AD09E5">
        <w:rPr>
          <w:rFonts w:ascii="Arial" w:hAnsi="Arial" w:cs="Arial"/>
        </w:rPr>
        <w:t xml:space="preserve"> </w:t>
      </w:r>
      <w:r w:rsidR="00D24BC6" w:rsidRPr="00AD09E5">
        <w:rPr>
          <w:rFonts w:ascii="Arial" w:hAnsi="Arial" w:cs="Arial"/>
        </w:rPr>
        <w:t>201</w:t>
      </w:r>
      <w:r w:rsidR="00155951">
        <w:rPr>
          <w:rFonts w:ascii="Arial" w:hAnsi="Arial" w:cs="Arial"/>
        </w:rPr>
        <w:t>4</w:t>
      </w:r>
      <w:r w:rsidR="00AC28A9">
        <w:rPr>
          <w:rFonts w:ascii="Arial" w:hAnsi="Arial" w:cs="Arial"/>
        </w:rPr>
        <w:t xml:space="preserve"> (8:45a</w:t>
      </w:r>
      <w:r w:rsidR="00DA4A3F">
        <w:rPr>
          <w:rFonts w:ascii="Arial" w:hAnsi="Arial" w:cs="Arial"/>
        </w:rPr>
        <w:t>m)</w:t>
      </w:r>
    </w:p>
    <w:tbl>
      <w:tblPr>
        <w:tblW w:w="0" w:type="auto"/>
        <w:tblLook w:val="0000" w:firstRow="0" w:lastRow="0" w:firstColumn="0" w:lastColumn="0" w:noHBand="0" w:noVBand="0"/>
      </w:tblPr>
      <w:tblGrid>
        <w:gridCol w:w="1377"/>
        <w:gridCol w:w="8199"/>
      </w:tblGrid>
      <w:tr w:rsidR="0087517C" w:rsidRPr="00AD09E5">
        <w:tc>
          <w:tcPr>
            <w:tcW w:w="1377" w:type="dxa"/>
          </w:tcPr>
          <w:p w:rsidR="0087517C" w:rsidRPr="00AD09E5" w:rsidRDefault="0087517C">
            <w:pPr>
              <w:pStyle w:val="Header"/>
              <w:tabs>
                <w:tab w:val="clear" w:pos="4320"/>
                <w:tab w:val="clear" w:pos="8640"/>
              </w:tabs>
              <w:jc w:val="right"/>
              <w:rPr>
                <w:rFonts w:ascii="Arial" w:hAnsi="Arial" w:cs="Arial"/>
              </w:rPr>
            </w:pPr>
            <w:r w:rsidRPr="00AD09E5">
              <w:rPr>
                <w:rFonts w:ascii="Arial" w:hAnsi="Arial" w:cs="Arial"/>
              </w:rPr>
              <w:t>TO:</w:t>
            </w:r>
          </w:p>
        </w:tc>
        <w:tc>
          <w:tcPr>
            <w:tcW w:w="8199" w:type="dxa"/>
          </w:tcPr>
          <w:p w:rsidR="0087517C" w:rsidRPr="00AD09E5" w:rsidRDefault="00EE784F">
            <w:pPr>
              <w:pStyle w:val="Header"/>
              <w:tabs>
                <w:tab w:val="clear" w:pos="4320"/>
                <w:tab w:val="clear" w:pos="8640"/>
              </w:tabs>
              <w:rPr>
                <w:rFonts w:ascii="Arial" w:hAnsi="Arial" w:cs="Arial"/>
              </w:rPr>
            </w:pPr>
            <w:r w:rsidRPr="00AD09E5">
              <w:rPr>
                <w:rFonts w:ascii="Arial" w:hAnsi="Arial" w:cs="Arial"/>
              </w:rPr>
              <w:t>David Shoemaker (</w:t>
            </w:r>
            <w:proofErr w:type="spellStart"/>
            <w:r w:rsidRPr="00AD09E5">
              <w:rPr>
                <w:rFonts w:ascii="Arial" w:hAnsi="Arial" w:cs="Arial"/>
              </w:rPr>
              <w:t>aLIGO</w:t>
            </w:r>
            <w:proofErr w:type="spellEnd"/>
            <w:r w:rsidRPr="00AD09E5">
              <w:rPr>
                <w:rFonts w:ascii="Arial" w:hAnsi="Arial" w:cs="Arial"/>
              </w:rPr>
              <w:t xml:space="preserve"> Project Leader),</w:t>
            </w:r>
          </w:p>
          <w:p w:rsidR="00AD09E5" w:rsidRDefault="00EE784F">
            <w:pPr>
              <w:pStyle w:val="Header"/>
              <w:tabs>
                <w:tab w:val="clear" w:pos="4320"/>
                <w:tab w:val="clear" w:pos="8640"/>
              </w:tabs>
              <w:rPr>
                <w:rFonts w:ascii="Arial" w:hAnsi="Arial" w:cs="Arial"/>
              </w:rPr>
            </w:pPr>
            <w:r w:rsidRPr="00AD09E5">
              <w:rPr>
                <w:rFonts w:ascii="Arial" w:hAnsi="Arial" w:cs="Arial"/>
              </w:rPr>
              <w:t>Carol Wilkinson (</w:t>
            </w:r>
            <w:proofErr w:type="spellStart"/>
            <w:r w:rsidRPr="00AD09E5">
              <w:rPr>
                <w:rFonts w:ascii="Arial" w:hAnsi="Arial" w:cs="Arial"/>
              </w:rPr>
              <w:t>aLIGO</w:t>
            </w:r>
            <w:proofErr w:type="spellEnd"/>
            <w:r w:rsidRPr="00AD09E5">
              <w:rPr>
                <w:rFonts w:ascii="Arial" w:hAnsi="Arial" w:cs="Arial"/>
              </w:rPr>
              <w:t xml:space="preserve"> Project Manager)</w:t>
            </w:r>
            <w:r w:rsidR="00DA4A3F">
              <w:rPr>
                <w:rFonts w:ascii="Arial" w:hAnsi="Arial" w:cs="Arial"/>
              </w:rPr>
              <w:t>,</w:t>
            </w:r>
          </w:p>
          <w:p w:rsidR="00DA4A3F" w:rsidRPr="00AD09E5" w:rsidRDefault="00DA4A3F">
            <w:pPr>
              <w:pStyle w:val="Header"/>
              <w:tabs>
                <w:tab w:val="clear" w:pos="4320"/>
                <w:tab w:val="clear" w:pos="8640"/>
              </w:tabs>
              <w:rPr>
                <w:rFonts w:ascii="Arial" w:hAnsi="Arial" w:cs="Arial"/>
              </w:rPr>
            </w:pPr>
            <w:r>
              <w:rPr>
                <w:rFonts w:ascii="Arial" w:hAnsi="Arial" w:cs="Arial"/>
              </w:rPr>
              <w:t>Dennis Coyne (</w:t>
            </w:r>
            <w:proofErr w:type="spellStart"/>
            <w:r>
              <w:rPr>
                <w:rFonts w:ascii="Arial" w:hAnsi="Arial" w:cs="Arial"/>
              </w:rPr>
              <w:t>aLIGO</w:t>
            </w:r>
            <w:proofErr w:type="spellEnd"/>
            <w:r>
              <w:rPr>
                <w:rFonts w:ascii="Arial" w:hAnsi="Arial" w:cs="Arial"/>
              </w:rPr>
              <w:t xml:space="preserve"> Chief Engineer)</w:t>
            </w:r>
          </w:p>
        </w:tc>
      </w:tr>
      <w:tr w:rsidR="0087517C" w:rsidRPr="00AD09E5">
        <w:tc>
          <w:tcPr>
            <w:tcW w:w="1377" w:type="dxa"/>
          </w:tcPr>
          <w:p w:rsidR="0087517C" w:rsidRPr="00AD09E5" w:rsidRDefault="0087517C">
            <w:pPr>
              <w:pStyle w:val="Header"/>
              <w:tabs>
                <w:tab w:val="clear" w:pos="4320"/>
                <w:tab w:val="clear" w:pos="8640"/>
              </w:tabs>
              <w:jc w:val="right"/>
              <w:rPr>
                <w:rFonts w:ascii="Arial" w:hAnsi="Arial" w:cs="Arial"/>
              </w:rPr>
            </w:pPr>
            <w:r w:rsidRPr="00AD09E5">
              <w:rPr>
                <w:rFonts w:ascii="Arial" w:hAnsi="Arial" w:cs="Arial"/>
              </w:rPr>
              <w:t>FROM:</w:t>
            </w:r>
          </w:p>
        </w:tc>
        <w:tc>
          <w:tcPr>
            <w:tcW w:w="8199" w:type="dxa"/>
          </w:tcPr>
          <w:tbl>
            <w:tblPr>
              <w:tblW w:w="0" w:type="auto"/>
              <w:tblBorders>
                <w:top w:val="nil"/>
                <w:left w:val="nil"/>
                <w:bottom w:val="nil"/>
                <w:right w:val="nil"/>
              </w:tblBorders>
              <w:tblLook w:val="0000" w:firstRow="0" w:lastRow="0" w:firstColumn="0" w:lastColumn="0" w:noHBand="0" w:noVBand="0"/>
            </w:tblPr>
            <w:tblGrid>
              <w:gridCol w:w="3438"/>
            </w:tblGrid>
            <w:tr w:rsidR="00AD09E5" w:rsidRPr="00AD09E5">
              <w:trPr>
                <w:trHeight w:val="159"/>
              </w:trPr>
              <w:tc>
                <w:tcPr>
                  <w:tcW w:w="0" w:type="auto"/>
                </w:tcPr>
                <w:p w:rsidR="00AD09E5" w:rsidRPr="00AD09E5" w:rsidRDefault="00AD09E5">
                  <w:pPr>
                    <w:pStyle w:val="Default"/>
                    <w:rPr>
                      <w:sz w:val="23"/>
                      <w:szCs w:val="23"/>
                    </w:rPr>
                  </w:pPr>
                  <w:r w:rsidRPr="00AD09E5">
                    <w:rPr>
                      <w:sz w:val="23"/>
                      <w:szCs w:val="23"/>
                    </w:rPr>
                    <w:t xml:space="preserve">Technical Review Board (TRB): </w:t>
                  </w:r>
                </w:p>
              </w:tc>
            </w:tr>
          </w:tbl>
          <w:p w:rsidR="00AD09E5" w:rsidRPr="00155951" w:rsidRDefault="00AD09E5" w:rsidP="00571868">
            <w:pPr>
              <w:pStyle w:val="Header"/>
              <w:tabs>
                <w:tab w:val="clear" w:pos="4320"/>
                <w:tab w:val="clear" w:pos="8640"/>
              </w:tabs>
              <w:rPr>
                <w:rFonts w:ascii="Arial" w:hAnsi="Arial" w:cs="Arial"/>
                <w:b/>
              </w:rPr>
            </w:pPr>
            <w:r>
              <w:rPr>
                <w:rFonts w:ascii="Arial" w:hAnsi="Arial" w:cs="Arial"/>
              </w:rPr>
              <w:t xml:space="preserve">  </w:t>
            </w:r>
            <w:r w:rsidRPr="00155951">
              <w:rPr>
                <w:rFonts w:ascii="Arial" w:hAnsi="Arial" w:cs="Arial"/>
                <w:b/>
              </w:rPr>
              <w:t>Calum Torrie (chair)</w:t>
            </w:r>
          </w:p>
          <w:p w:rsidR="002B479A" w:rsidRPr="00155951" w:rsidRDefault="002B479A" w:rsidP="002B479A">
            <w:pPr>
              <w:pStyle w:val="Header"/>
              <w:rPr>
                <w:rFonts w:ascii="Arial" w:hAnsi="Arial" w:cs="Arial"/>
                <w:b/>
              </w:rPr>
            </w:pPr>
            <w:r>
              <w:rPr>
                <w:rFonts w:ascii="Arial" w:hAnsi="Arial" w:cs="Arial"/>
              </w:rPr>
              <w:t xml:space="preserve">  </w:t>
            </w:r>
            <w:r w:rsidRPr="002B479A">
              <w:rPr>
                <w:rFonts w:ascii="Arial" w:hAnsi="Arial" w:cs="Arial"/>
              </w:rPr>
              <w:t xml:space="preserve"> </w:t>
            </w:r>
            <w:proofErr w:type="spellStart"/>
            <w:r w:rsidRPr="002B479A">
              <w:rPr>
                <w:rFonts w:ascii="Arial" w:hAnsi="Arial" w:cs="Arial"/>
              </w:rPr>
              <w:t>Rodica</w:t>
            </w:r>
            <w:proofErr w:type="spellEnd"/>
            <w:r w:rsidRPr="002B479A">
              <w:rPr>
                <w:rFonts w:ascii="Arial" w:hAnsi="Arial" w:cs="Arial"/>
              </w:rPr>
              <w:t xml:space="preserve"> Martin  </w:t>
            </w:r>
            <w:proofErr w:type="spellStart"/>
            <w:r w:rsidRPr="00155951">
              <w:rPr>
                <w:rFonts w:ascii="Arial" w:hAnsi="Arial" w:cs="Arial"/>
                <w:b/>
              </w:rPr>
              <w:t>Norna</w:t>
            </w:r>
            <w:proofErr w:type="spellEnd"/>
            <w:r w:rsidRPr="00155951">
              <w:rPr>
                <w:rFonts w:ascii="Arial" w:hAnsi="Arial" w:cs="Arial"/>
                <w:b/>
              </w:rPr>
              <w:t xml:space="preserve"> Robertson</w:t>
            </w:r>
            <w:r>
              <w:rPr>
                <w:rFonts w:ascii="Arial" w:hAnsi="Arial" w:cs="Arial"/>
              </w:rPr>
              <w:t xml:space="preserve">    Michael Smith</w:t>
            </w:r>
            <w:r w:rsidRPr="002B479A">
              <w:rPr>
                <w:rFonts w:ascii="Arial" w:hAnsi="Arial" w:cs="Arial"/>
              </w:rPr>
              <w:t xml:space="preserve">    </w:t>
            </w:r>
            <w:r w:rsidRPr="00155951">
              <w:rPr>
                <w:rFonts w:ascii="Arial" w:hAnsi="Arial" w:cs="Arial"/>
                <w:b/>
              </w:rPr>
              <w:t xml:space="preserve">Peter </w:t>
            </w:r>
            <w:proofErr w:type="spellStart"/>
            <w:r w:rsidRPr="00155951">
              <w:rPr>
                <w:rFonts w:ascii="Arial" w:hAnsi="Arial" w:cs="Arial"/>
                <w:b/>
              </w:rPr>
              <w:t>Fritschel</w:t>
            </w:r>
            <w:proofErr w:type="spellEnd"/>
          </w:p>
          <w:p w:rsidR="00F9278D" w:rsidRPr="00AD09E5" w:rsidRDefault="002B479A" w:rsidP="002B479A">
            <w:pPr>
              <w:pStyle w:val="Header"/>
              <w:rPr>
                <w:rFonts w:ascii="Arial" w:hAnsi="Arial" w:cs="Arial"/>
              </w:rPr>
            </w:pPr>
            <w:r>
              <w:rPr>
                <w:rFonts w:ascii="Arial" w:hAnsi="Arial" w:cs="Arial"/>
              </w:rPr>
              <w:t xml:space="preserve">    </w:t>
            </w:r>
            <w:proofErr w:type="spellStart"/>
            <w:r w:rsidRPr="00155951">
              <w:rPr>
                <w:rFonts w:ascii="Arial" w:hAnsi="Arial" w:cs="Arial"/>
                <w:b/>
              </w:rPr>
              <w:t>GariLynn</w:t>
            </w:r>
            <w:proofErr w:type="spellEnd"/>
            <w:r w:rsidRPr="00155951">
              <w:rPr>
                <w:rFonts w:ascii="Arial" w:hAnsi="Arial" w:cs="Arial"/>
                <w:b/>
              </w:rPr>
              <w:t xml:space="preserve"> Billingsley</w:t>
            </w:r>
            <w:r w:rsidRPr="002B479A">
              <w:rPr>
                <w:rFonts w:ascii="Arial" w:hAnsi="Arial" w:cs="Arial"/>
              </w:rPr>
              <w:t xml:space="preserve">    Eric Gustafson</w:t>
            </w:r>
            <w:r w:rsidR="00DA4A3F">
              <w:rPr>
                <w:rFonts w:ascii="Arial" w:hAnsi="Arial" w:cs="Arial"/>
              </w:rPr>
              <w:t xml:space="preserve"> (observer)</w:t>
            </w:r>
            <w:r w:rsidR="00155951">
              <w:rPr>
                <w:rFonts w:ascii="Arial" w:hAnsi="Arial" w:cs="Arial"/>
              </w:rPr>
              <w:t xml:space="preserve"> </w:t>
            </w:r>
          </w:p>
        </w:tc>
      </w:tr>
      <w:tr w:rsidR="0087517C" w:rsidRPr="00AD09E5">
        <w:tc>
          <w:tcPr>
            <w:tcW w:w="1377" w:type="dxa"/>
          </w:tcPr>
          <w:p w:rsidR="00155951" w:rsidRDefault="00155951">
            <w:pPr>
              <w:pStyle w:val="Header"/>
              <w:tabs>
                <w:tab w:val="clear" w:pos="4320"/>
                <w:tab w:val="clear" w:pos="8640"/>
              </w:tabs>
              <w:jc w:val="right"/>
              <w:rPr>
                <w:rFonts w:ascii="Arial" w:hAnsi="Arial" w:cs="Arial"/>
              </w:rPr>
            </w:pPr>
            <w:r>
              <w:rPr>
                <w:rFonts w:ascii="Arial" w:hAnsi="Arial" w:cs="Arial"/>
              </w:rPr>
              <w:t xml:space="preserve">NOTE:   </w:t>
            </w:r>
          </w:p>
          <w:p w:rsidR="0087517C" w:rsidRPr="00AD09E5" w:rsidRDefault="0087517C">
            <w:pPr>
              <w:pStyle w:val="Header"/>
              <w:tabs>
                <w:tab w:val="clear" w:pos="4320"/>
                <w:tab w:val="clear" w:pos="8640"/>
              </w:tabs>
              <w:jc w:val="right"/>
              <w:rPr>
                <w:rFonts w:ascii="Arial" w:hAnsi="Arial" w:cs="Arial"/>
              </w:rPr>
            </w:pPr>
            <w:r w:rsidRPr="00AD09E5">
              <w:rPr>
                <w:rFonts w:ascii="Arial" w:hAnsi="Arial" w:cs="Arial"/>
              </w:rPr>
              <w:t>SUBJECT:</w:t>
            </w:r>
          </w:p>
        </w:tc>
        <w:tc>
          <w:tcPr>
            <w:tcW w:w="8199" w:type="dxa"/>
          </w:tcPr>
          <w:p w:rsidR="00155951" w:rsidRDefault="00155951" w:rsidP="00AD09E5">
            <w:pPr>
              <w:pStyle w:val="Header"/>
              <w:tabs>
                <w:tab w:val="clear" w:pos="4320"/>
                <w:tab w:val="clear" w:pos="8640"/>
              </w:tabs>
              <w:rPr>
                <w:rFonts w:ascii="Arial" w:hAnsi="Arial" w:cs="Arial"/>
              </w:rPr>
            </w:pPr>
            <w:r w:rsidRPr="00155951">
              <w:rPr>
                <w:rFonts w:ascii="Arial" w:hAnsi="Arial" w:cs="Arial"/>
                <w:i/>
              </w:rPr>
              <w:t>Only names highlighted in bold above met individually via telephone for v5</w:t>
            </w:r>
            <w:r>
              <w:rPr>
                <w:rFonts w:ascii="Arial" w:hAnsi="Arial" w:cs="Arial"/>
              </w:rPr>
              <w:t>.</w:t>
            </w:r>
          </w:p>
          <w:p w:rsidR="00AD09E5" w:rsidRPr="00AD09E5" w:rsidRDefault="00EE784F" w:rsidP="00AD09E5">
            <w:pPr>
              <w:pStyle w:val="Header"/>
              <w:tabs>
                <w:tab w:val="clear" w:pos="4320"/>
                <w:tab w:val="clear" w:pos="8640"/>
              </w:tabs>
              <w:rPr>
                <w:rFonts w:ascii="Arial" w:hAnsi="Arial" w:cs="Arial"/>
              </w:rPr>
            </w:pPr>
            <w:r w:rsidRPr="00AD09E5">
              <w:rPr>
                <w:rFonts w:ascii="Arial" w:hAnsi="Arial" w:cs="Arial"/>
              </w:rPr>
              <w:t>Technical Review Board (</w:t>
            </w:r>
            <w:r w:rsidR="00D24BC6" w:rsidRPr="00AD09E5">
              <w:rPr>
                <w:rFonts w:ascii="Arial" w:hAnsi="Arial" w:cs="Arial"/>
              </w:rPr>
              <w:t>TRB</w:t>
            </w:r>
            <w:r w:rsidRPr="00AD09E5">
              <w:rPr>
                <w:rFonts w:ascii="Arial" w:hAnsi="Arial" w:cs="Arial"/>
              </w:rPr>
              <w:t xml:space="preserve">) </w:t>
            </w:r>
            <w:r w:rsidR="008E05EA" w:rsidRPr="00AD09E5">
              <w:rPr>
                <w:rFonts w:ascii="Arial" w:hAnsi="Arial" w:cs="Arial"/>
              </w:rPr>
              <w:t>Report</w:t>
            </w:r>
            <w:proofErr w:type="gramStart"/>
            <w:r w:rsidR="008E05EA" w:rsidRPr="00AD09E5">
              <w:rPr>
                <w:rFonts w:ascii="Arial" w:hAnsi="Arial" w:cs="Arial"/>
              </w:rPr>
              <w:t>:</w:t>
            </w:r>
            <w:proofErr w:type="gramEnd"/>
            <w:r w:rsidR="008E05EA" w:rsidRPr="00AD09E5">
              <w:rPr>
                <w:rFonts w:ascii="Arial" w:hAnsi="Arial" w:cs="Arial"/>
              </w:rPr>
              <w:br/>
            </w:r>
            <w:r w:rsidR="00AD09E5" w:rsidRPr="00AD09E5">
              <w:rPr>
                <w:rFonts w:ascii="Arial" w:hAnsi="Arial" w:cs="Arial"/>
              </w:rPr>
              <w:t>Recommendation and options for going forward related to the discrepancy between COC &amp; SUS plans to make a single version of the quad ITM suspensions and the optical layout which calls for a left and right handed version of the ITM suspensions.</w:t>
            </w:r>
          </w:p>
        </w:tc>
      </w:tr>
      <w:tr w:rsidR="00F02E2D" w:rsidRPr="00AD09E5">
        <w:tc>
          <w:tcPr>
            <w:tcW w:w="1377" w:type="dxa"/>
          </w:tcPr>
          <w:p w:rsidR="00F02E2D" w:rsidRPr="00AD09E5" w:rsidRDefault="00F02E2D">
            <w:pPr>
              <w:pStyle w:val="Header"/>
              <w:tabs>
                <w:tab w:val="clear" w:pos="4320"/>
                <w:tab w:val="clear" w:pos="8640"/>
              </w:tabs>
              <w:jc w:val="right"/>
              <w:rPr>
                <w:rFonts w:ascii="Arial" w:hAnsi="Arial" w:cs="Arial"/>
              </w:rPr>
            </w:pPr>
            <w:r w:rsidRPr="00AD09E5">
              <w:rPr>
                <w:rFonts w:ascii="Arial" w:hAnsi="Arial" w:cs="Arial"/>
              </w:rPr>
              <w:t>cc:</w:t>
            </w:r>
          </w:p>
        </w:tc>
        <w:tc>
          <w:tcPr>
            <w:tcW w:w="8199" w:type="dxa"/>
          </w:tcPr>
          <w:p w:rsidR="00AD09E5" w:rsidRPr="00AD09E5" w:rsidRDefault="00DA4A3F">
            <w:pPr>
              <w:pStyle w:val="Header"/>
              <w:tabs>
                <w:tab w:val="clear" w:pos="4320"/>
                <w:tab w:val="clear" w:pos="8640"/>
              </w:tabs>
              <w:rPr>
                <w:rFonts w:ascii="Arial" w:hAnsi="Arial" w:cs="Arial"/>
              </w:rPr>
            </w:pPr>
            <w:r w:rsidRPr="00057905">
              <w:rPr>
                <w:rFonts w:ascii="Arial" w:hAnsi="Arial" w:cs="Arial"/>
                <w:highlight w:val="lightGray"/>
              </w:rPr>
              <w:t>Need to add in CC list</w:t>
            </w:r>
          </w:p>
        </w:tc>
      </w:tr>
      <w:tr w:rsidR="0087517C" w:rsidRPr="00AD09E5">
        <w:tc>
          <w:tcPr>
            <w:tcW w:w="1377" w:type="dxa"/>
          </w:tcPr>
          <w:p w:rsidR="0087517C" w:rsidRPr="00AD09E5" w:rsidRDefault="0087517C">
            <w:pPr>
              <w:pStyle w:val="Header"/>
              <w:tabs>
                <w:tab w:val="clear" w:pos="4320"/>
                <w:tab w:val="clear" w:pos="8640"/>
              </w:tabs>
              <w:jc w:val="right"/>
              <w:rPr>
                <w:rFonts w:ascii="Arial" w:hAnsi="Arial" w:cs="Arial"/>
              </w:rPr>
            </w:pPr>
            <w:r w:rsidRPr="00AD09E5">
              <w:rPr>
                <w:rFonts w:ascii="Arial" w:hAnsi="Arial" w:cs="Arial"/>
              </w:rPr>
              <w:t>Refer to:</w:t>
            </w:r>
          </w:p>
        </w:tc>
        <w:tc>
          <w:tcPr>
            <w:tcW w:w="8199" w:type="dxa"/>
          </w:tcPr>
          <w:p w:rsidR="0087517C" w:rsidRPr="00AD09E5" w:rsidRDefault="000B1651" w:rsidP="00155951">
            <w:pPr>
              <w:pStyle w:val="Header"/>
              <w:tabs>
                <w:tab w:val="clear" w:pos="4320"/>
                <w:tab w:val="clear" w:pos="8640"/>
              </w:tabs>
              <w:rPr>
                <w:rFonts w:ascii="Arial" w:hAnsi="Arial" w:cs="Arial"/>
              </w:rPr>
            </w:pPr>
            <w:hyperlink r:id="rId10" w:tooltip="LIGO-L1200291-x0" w:history="1">
              <w:r w:rsidR="00AD09E5" w:rsidRPr="00AD09E5">
                <w:rPr>
                  <w:rStyle w:val="Hyperlink"/>
                  <w:rFonts w:ascii="Arial" w:hAnsi="Arial" w:cs="Arial"/>
                </w:rPr>
                <w:t>LIGO-L1200291-v</w:t>
              </w:r>
              <w:r w:rsidR="00155951">
                <w:rPr>
                  <w:rStyle w:val="Hyperlink"/>
                  <w:rFonts w:ascii="Arial" w:hAnsi="Arial" w:cs="Arial"/>
                </w:rPr>
                <w:t>5</w:t>
              </w:r>
            </w:hyperlink>
          </w:p>
        </w:tc>
      </w:tr>
    </w:tbl>
    <w:p w:rsidR="0087517C" w:rsidRDefault="0087517C">
      <w:pPr>
        <w:pStyle w:val="Header"/>
        <w:tabs>
          <w:tab w:val="clear" w:pos="4320"/>
          <w:tab w:val="clear" w:pos="8640"/>
        </w:tabs>
        <w:rPr>
          <w:rFonts w:ascii="Arial" w:hAnsi="Arial" w:cs="Arial"/>
        </w:rPr>
      </w:pPr>
    </w:p>
    <w:p w:rsidR="001A1B91" w:rsidRDefault="001A1B91" w:rsidP="001A1B91">
      <w:pPr>
        <w:pStyle w:val="Default"/>
        <w:numPr>
          <w:ilvl w:val="0"/>
          <w:numId w:val="16"/>
        </w:numPr>
        <w:rPr>
          <w:rStyle w:val="Strong"/>
        </w:rPr>
      </w:pPr>
      <w:r>
        <w:rPr>
          <w:rStyle w:val="Strong"/>
        </w:rPr>
        <w:t>Charge</w:t>
      </w:r>
    </w:p>
    <w:p w:rsidR="008C2F6A" w:rsidRDefault="008C2F6A" w:rsidP="008C2F6A">
      <w:pPr>
        <w:pStyle w:val="Default"/>
        <w:ind w:left="360"/>
        <w:rPr>
          <w:rStyle w:val="Strong"/>
        </w:rPr>
      </w:pPr>
    </w:p>
    <w:p w:rsidR="004D21A9" w:rsidRPr="001F60C6" w:rsidRDefault="004D21A9" w:rsidP="001A1B91">
      <w:pPr>
        <w:pStyle w:val="Default"/>
        <w:numPr>
          <w:ilvl w:val="1"/>
          <w:numId w:val="16"/>
        </w:numPr>
        <w:rPr>
          <w:rStyle w:val="Strong"/>
          <w:b w:val="0"/>
        </w:rPr>
      </w:pPr>
      <w:r w:rsidRPr="001F60C6">
        <w:rPr>
          <w:rStyle w:val="Strong"/>
          <w:b w:val="0"/>
        </w:rPr>
        <w:t xml:space="preserve">Copy of Charge from </w:t>
      </w:r>
      <w:hyperlink r:id="rId11" w:tooltip="LIGO-L1200290-v1" w:history="1">
        <w:r w:rsidR="001F60C6">
          <w:rPr>
            <w:rStyle w:val="Hyperlink"/>
          </w:rPr>
          <w:t>LIGO-L1200290-v1</w:t>
        </w:r>
      </w:hyperlink>
    </w:p>
    <w:p w:rsidR="0050344F" w:rsidRDefault="0050344F" w:rsidP="004D21A9">
      <w:pPr>
        <w:pStyle w:val="Default"/>
        <w:jc w:val="both"/>
        <w:rPr>
          <w:i/>
          <w:sz w:val="20"/>
          <w:szCs w:val="20"/>
        </w:rPr>
      </w:pPr>
    </w:p>
    <w:p w:rsidR="004D21A9" w:rsidRPr="00AB0355" w:rsidRDefault="004D21A9" w:rsidP="004D21A9">
      <w:pPr>
        <w:pStyle w:val="Default"/>
        <w:jc w:val="both"/>
        <w:rPr>
          <w:i/>
          <w:sz w:val="20"/>
          <w:szCs w:val="20"/>
        </w:rPr>
      </w:pPr>
      <w:r w:rsidRPr="00AB0355">
        <w:rPr>
          <w:i/>
          <w:sz w:val="20"/>
          <w:szCs w:val="20"/>
        </w:rPr>
        <w:t>An Engineering Change R</w:t>
      </w:r>
      <w:r w:rsidR="001F60C6">
        <w:rPr>
          <w:i/>
          <w:sz w:val="20"/>
          <w:szCs w:val="20"/>
        </w:rPr>
        <w:t>equest (</w:t>
      </w:r>
      <w:r w:rsidR="001F60C6" w:rsidRPr="001F60C6">
        <w:rPr>
          <w:i/>
          <w:sz w:val="20"/>
          <w:szCs w:val="20"/>
        </w:rPr>
        <w:t xml:space="preserve">ECR </w:t>
      </w:r>
      <w:hyperlink r:id="rId12" w:tooltip="LIGO-E1200943-v1" w:history="1">
        <w:r w:rsidR="001F60C6" w:rsidRPr="001F60C6">
          <w:rPr>
            <w:rStyle w:val="Hyperlink"/>
            <w:sz w:val="20"/>
            <w:szCs w:val="20"/>
          </w:rPr>
          <w:t>LIGO-E1200943-v1</w:t>
        </w:r>
      </w:hyperlink>
      <w:r w:rsidRPr="001F60C6">
        <w:rPr>
          <w:i/>
          <w:sz w:val="20"/>
          <w:szCs w:val="20"/>
        </w:rPr>
        <w:t>) has been submitted for review and disposition. The ECR addresses the apparent need to change the orientation</w:t>
      </w:r>
      <w:r w:rsidRPr="00AB0355">
        <w:rPr>
          <w:i/>
          <w:sz w:val="20"/>
          <w:szCs w:val="20"/>
        </w:rPr>
        <w:t xml:space="preserve"> of the wedge angle of the Compensation Plate (CP) for the </w:t>
      </w:r>
      <w:proofErr w:type="spellStart"/>
      <w:r w:rsidRPr="00AB0355">
        <w:rPr>
          <w:i/>
          <w:sz w:val="20"/>
          <w:szCs w:val="20"/>
        </w:rPr>
        <w:t>ITMy</w:t>
      </w:r>
      <w:proofErr w:type="spellEnd"/>
      <w:r w:rsidRPr="00AB0355">
        <w:rPr>
          <w:i/>
          <w:sz w:val="20"/>
          <w:szCs w:val="20"/>
        </w:rPr>
        <w:t xml:space="preserve"> quad suspension. Clearly there is a discrepancy between COC &amp; SUS plans to make a single version of the quad ITM suspensions and the optical layout which calls for a left and right handed version of the ITM suspensions. This Technical Review Board (TRB) has been formed to make recommendations regarding the proposed ECR. Specifically the TRB is charged to consider any and all factors in making recommendations on the following issues: </w:t>
      </w:r>
    </w:p>
    <w:p w:rsidR="004D21A9" w:rsidRPr="00AB0355" w:rsidRDefault="004D21A9" w:rsidP="004D21A9">
      <w:pPr>
        <w:pStyle w:val="Default"/>
        <w:jc w:val="both"/>
        <w:rPr>
          <w:sz w:val="20"/>
          <w:szCs w:val="20"/>
        </w:rPr>
      </w:pPr>
    </w:p>
    <w:p w:rsidR="004D21A9" w:rsidRPr="00AB0355" w:rsidRDefault="004D21A9" w:rsidP="004D21A9">
      <w:pPr>
        <w:pStyle w:val="Default"/>
        <w:jc w:val="both"/>
        <w:rPr>
          <w:i/>
          <w:sz w:val="20"/>
          <w:szCs w:val="20"/>
        </w:rPr>
      </w:pPr>
      <w:r w:rsidRPr="00AB0355">
        <w:rPr>
          <w:sz w:val="20"/>
          <w:szCs w:val="20"/>
        </w:rPr>
        <w:t xml:space="preserve">1) </w:t>
      </w:r>
      <w:r w:rsidRPr="00AB0355">
        <w:rPr>
          <w:i/>
          <w:sz w:val="20"/>
          <w:szCs w:val="20"/>
        </w:rPr>
        <w:t xml:space="preserve">It has been suggested (L1200282-v3) that in order to separate the x and y ALS green beams, we need the wedge angle of </w:t>
      </w:r>
      <w:proofErr w:type="spellStart"/>
      <w:r w:rsidRPr="00AB0355">
        <w:rPr>
          <w:i/>
          <w:sz w:val="20"/>
          <w:szCs w:val="20"/>
        </w:rPr>
        <w:t>CPy</w:t>
      </w:r>
      <w:proofErr w:type="spellEnd"/>
      <w:r w:rsidRPr="00AB0355">
        <w:rPr>
          <w:i/>
          <w:sz w:val="20"/>
          <w:szCs w:val="20"/>
        </w:rPr>
        <w:t xml:space="preserve"> to be rotated 180 degrees from its current position in the </w:t>
      </w:r>
      <w:proofErr w:type="spellStart"/>
      <w:r w:rsidRPr="00AB0355">
        <w:rPr>
          <w:i/>
          <w:sz w:val="20"/>
          <w:szCs w:val="20"/>
        </w:rPr>
        <w:t>ITMy</w:t>
      </w:r>
      <w:proofErr w:type="spellEnd"/>
      <w:r w:rsidRPr="00AB0355">
        <w:rPr>
          <w:i/>
          <w:sz w:val="20"/>
          <w:szCs w:val="20"/>
        </w:rPr>
        <w:t xml:space="preserve"> suspension. Confirm or refute this finding, i.e. must the </w:t>
      </w:r>
      <w:proofErr w:type="spellStart"/>
      <w:r w:rsidRPr="00AB0355">
        <w:rPr>
          <w:i/>
          <w:sz w:val="20"/>
          <w:szCs w:val="20"/>
        </w:rPr>
        <w:t>CPx</w:t>
      </w:r>
      <w:proofErr w:type="spellEnd"/>
      <w:r w:rsidRPr="00AB0355">
        <w:rPr>
          <w:i/>
          <w:sz w:val="20"/>
          <w:szCs w:val="20"/>
        </w:rPr>
        <w:t xml:space="preserve"> and </w:t>
      </w:r>
      <w:proofErr w:type="spellStart"/>
      <w:r w:rsidRPr="00AB0355">
        <w:rPr>
          <w:i/>
          <w:sz w:val="20"/>
          <w:szCs w:val="20"/>
        </w:rPr>
        <w:t>CPy</w:t>
      </w:r>
      <w:proofErr w:type="spellEnd"/>
      <w:r w:rsidRPr="00AB0355">
        <w:rPr>
          <w:i/>
          <w:sz w:val="20"/>
          <w:szCs w:val="20"/>
        </w:rPr>
        <w:t xml:space="preserve"> wedge angle orientations be different? </w:t>
      </w:r>
    </w:p>
    <w:p w:rsidR="004D21A9" w:rsidRPr="00AB0355" w:rsidRDefault="004D21A9" w:rsidP="004D21A9">
      <w:pPr>
        <w:pStyle w:val="Default"/>
        <w:jc w:val="both"/>
        <w:rPr>
          <w:i/>
          <w:sz w:val="20"/>
          <w:szCs w:val="20"/>
        </w:rPr>
      </w:pPr>
      <w:r w:rsidRPr="00AB0355">
        <w:rPr>
          <w:i/>
          <w:sz w:val="20"/>
          <w:szCs w:val="20"/>
        </w:rPr>
        <w:t>2) If the CP wedge orientations must be different, then what is the best approach for accomplishing this change</w:t>
      </w:r>
      <w:proofErr w:type="gramStart"/>
      <w:r w:rsidRPr="00AB0355">
        <w:rPr>
          <w:i/>
          <w:sz w:val="20"/>
          <w:szCs w:val="20"/>
        </w:rPr>
        <w:t>?,</w:t>
      </w:r>
      <w:proofErr w:type="gramEnd"/>
      <w:r w:rsidRPr="00AB0355">
        <w:rPr>
          <w:i/>
          <w:sz w:val="20"/>
          <w:szCs w:val="20"/>
        </w:rPr>
        <w:t xml:space="preserve"> e.g. a. make new </w:t>
      </w:r>
      <w:proofErr w:type="spellStart"/>
      <w:r w:rsidRPr="00AB0355">
        <w:rPr>
          <w:i/>
          <w:sz w:val="20"/>
          <w:szCs w:val="20"/>
        </w:rPr>
        <w:t>CPy</w:t>
      </w:r>
      <w:proofErr w:type="spellEnd"/>
      <w:r w:rsidRPr="00AB0355">
        <w:rPr>
          <w:i/>
          <w:sz w:val="20"/>
          <w:szCs w:val="20"/>
        </w:rPr>
        <w:t xml:space="preserve"> optics, or </w:t>
      </w:r>
    </w:p>
    <w:p w:rsidR="004D21A9" w:rsidRPr="00AB0355" w:rsidRDefault="004D21A9" w:rsidP="004D21A9">
      <w:pPr>
        <w:pStyle w:val="Default"/>
        <w:jc w:val="both"/>
        <w:rPr>
          <w:i/>
          <w:sz w:val="20"/>
          <w:szCs w:val="20"/>
        </w:rPr>
      </w:pPr>
      <w:proofErr w:type="gramStart"/>
      <w:r w:rsidRPr="00AB0355">
        <w:rPr>
          <w:i/>
          <w:sz w:val="20"/>
          <w:szCs w:val="20"/>
        </w:rPr>
        <w:t>b</w:t>
      </w:r>
      <w:proofErr w:type="gramEnd"/>
      <w:r w:rsidRPr="00AB0355">
        <w:rPr>
          <w:i/>
          <w:sz w:val="20"/>
          <w:szCs w:val="20"/>
        </w:rPr>
        <w:t xml:space="preserve">. determine a rework design to use a </w:t>
      </w:r>
      <w:proofErr w:type="spellStart"/>
      <w:r w:rsidRPr="00AB0355">
        <w:rPr>
          <w:i/>
          <w:sz w:val="20"/>
          <w:szCs w:val="20"/>
        </w:rPr>
        <w:t>CPx</w:t>
      </w:r>
      <w:proofErr w:type="spellEnd"/>
      <w:r w:rsidRPr="00AB0355">
        <w:rPr>
          <w:i/>
          <w:sz w:val="20"/>
          <w:szCs w:val="20"/>
        </w:rPr>
        <w:t xml:space="preserve"> optic in an </w:t>
      </w:r>
      <w:proofErr w:type="spellStart"/>
      <w:r w:rsidRPr="00AB0355">
        <w:rPr>
          <w:i/>
          <w:sz w:val="20"/>
          <w:szCs w:val="20"/>
        </w:rPr>
        <w:t>ITMy</w:t>
      </w:r>
      <w:proofErr w:type="spellEnd"/>
      <w:r w:rsidRPr="00AB0355">
        <w:rPr>
          <w:i/>
          <w:sz w:val="20"/>
          <w:szCs w:val="20"/>
        </w:rPr>
        <w:t xml:space="preserve"> suspension (e.g. longer cable which attaches at top and runs down CP barrel to connect at bottom) </w:t>
      </w:r>
    </w:p>
    <w:p w:rsidR="004D21A9" w:rsidRPr="00AB0355" w:rsidRDefault="004D21A9" w:rsidP="004D21A9">
      <w:pPr>
        <w:pStyle w:val="Default"/>
        <w:jc w:val="both"/>
        <w:rPr>
          <w:i/>
          <w:sz w:val="20"/>
          <w:szCs w:val="20"/>
        </w:rPr>
      </w:pPr>
      <w:r w:rsidRPr="00AB0355">
        <w:rPr>
          <w:i/>
          <w:sz w:val="20"/>
          <w:szCs w:val="20"/>
        </w:rPr>
        <w:t xml:space="preserve">3) If the CP wedge orientations do not need to be different, then what is the best approach for altering the optical layout to be consistent with a common CP wedge orientation? </w:t>
      </w:r>
    </w:p>
    <w:p w:rsidR="004D21A9" w:rsidRPr="00AB0355" w:rsidRDefault="004D21A9" w:rsidP="004D21A9">
      <w:pPr>
        <w:pStyle w:val="Default"/>
        <w:jc w:val="both"/>
        <w:rPr>
          <w:i/>
          <w:sz w:val="20"/>
          <w:szCs w:val="20"/>
        </w:rPr>
      </w:pPr>
      <w:r w:rsidRPr="00DA4A3F">
        <w:rPr>
          <w:i/>
          <w:sz w:val="20"/>
          <w:szCs w:val="20"/>
        </w:rPr>
        <w:t>4) How best to proceed in the interim with installation &amp; test, given likely time frames for accomplishing the required changes?</w:t>
      </w:r>
      <w:r w:rsidRPr="00AB0355">
        <w:rPr>
          <w:i/>
          <w:sz w:val="20"/>
          <w:szCs w:val="20"/>
        </w:rPr>
        <w:t xml:space="preserve"> </w:t>
      </w:r>
    </w:p>
    <w:p w:rsidR="004D21A9" w:rsidRPr="00AB0355" w:rsidRDefault="004D21A9" w:rsidP="004D21A9">
      <w:pPr>
        <w:pStyle w:val="Default"/>
        <w:jc w:val="both"/>
        <w:rPr>
          <w:i/>
          <w:sz w:val="20"/>
          <w:szCs w:val="20"/>
        </w:rPr>
      </w:pPr>
    </w:p>
    <w:p w:rsidR="004D21A9" w:rsidRDefault="004D21A9" w:rsidP="004D21A9">
      <w:pPr>
        <w:pStyle w:val="Default"/>
        <w:jc w:val="both"/>
        <w:rPr>
          <w:i/>
          <w:sz w:val="20"/>
          <w:szCs w:val="20"/>
        </w:rPr>
      </w:pPr>
      <w:r w:rsidRPr="00AB0355">
        <w:rPr>
          <w:i/>
          <w:sz w:val="20"/>
          <w:szCs w:val="20"/>
        </w:rPr>
        <w:t xml:space="preserve">Time is of the essence on this issue. Please provide a written report with the TRB’s recommendations to </w:t>
      </w:r>
      <w:proofErr w:type="spellStart"/>
      <w:r w:rsidRPr="00AB0355">
        <w:rPr>
          <w:i/>
          <w:sz w:val="20"/>
          <w:szCs w:val="20"/>
        </w:rPr>
        <w:t>aLIGO</w:t>
      </w:r>
      <w:proofErr w:type="spellEnd"/>
      <w:r w:rsidRPr="00AB0355">
        <w:rPr>
          <w:i/>
          <w:sz w:val="20"/>
          <w:szCs w:val="20"/>
        </w:rPr>
        <w:t xml:space="preserve"> management by no later than 2 November 2012. However the technical issues must carefully considered. If the TRB thinks that more time is required to responsibly come to technical closure on viable options, then they are requested to inform </w:t>
      </w:r>
      <w:proofErr w:type="spellStart"/>
      <w:r w:rsidRPr="00AB0355">
        <w:rPr>
          <w:i/>
          <w:sz w:val="20"/>
          <w:szCs w:val="20"/>
        </w:rPr>
        <w:t>aLIGO</w:t>
      </w:r>
      <w:proofErr w:type="spellEnd"/>
      <w:r w:rsidRPr="00AB0355">
        <w:rPr>
          <w:i/>
          <w:sz w:val="20"/>
          <w:szCs w:val="20"/>
        </w:rPr>
        <w:t xml:space="preserve"> management, as soon as this is clear.</w:t>
      </w:r>
    </w:p>
    <w:p w:rsidR="00DA4A3F" w:rsidRDefault="00DA4A3F" w:rsidP="004D21A9">
      <w:pPr>
        <w:pStyle w:val="Default"/>
        <w:jc w:val="both"/>
        <w:rPr>
          <w:i/>
          <w:sz w:val="20"/>
          <w:szCs w:val="20"/>
        </w:rPr>
      </w:pPr>
    </w:p>
    <w:p w:rsidR="004D21A9" w:rsidRDefault="001A1B91" w:rsidP="001A1B91">
      <w:pPr>
        <w:pStyle w:val="Default"/>
        <w:numPr>
          <w:ilvl w:val="0"/>
          <w:numId w:val="16"/>
        </w:numPr>
        <w:rPr>
          <w:rStyle w:val="Strong"/>
        </w:rPr>
      </w:pPr>
      <w:r w:rsidRPr="001A1B91">
        <w:rPr>
          <w:rStyle w:val="Strong"/>
        </w:rPr>
        <w:t>TRB Report</w:t>
      </w:r>
    </w:p>
    <w:p w:rsidR="001A1B91" w:rsidRPr="004D21A9" w:rsidRDefault="001A1B91" w:rsidP="001A1B91">
      <w:pPr>
        <w:pStyle w:val="Default"/>
        <w:numPr>
          <w:ilvl w:val="1"/>
          <w:numId w:val="16"/>
        </w:numPr>
        <w:rPr>
          <w:u w:val="single"/>
        </w:rPr>
      </w:pPr>
      <w:r>
        <w:rPr>
          <w:u w:val="single"/>
        </w:rPr>
        <w:t>Introduction</w:t>
      </w:r>
    </w:p>
    <w:p w:rsidR="0050344F" w:rsidRDefault="0050344F" w:rsidP="004D21A9">
      <w:pPr>
        <w:pStyle w:val="Default"/>
        <w:jc w:val="both"/>
      </w:pPr>
    </w:p>
    <w:p w:rsidR="004D21A9" w:rsidRPr="004D21A9" w:rsidRDefault="004D21A9" w:rsidP="00654041">
      <w:pPr>
        <w:pStyle w:val="Default"/>
        <w:jc w:val="both"/>
      </w:pPr>
      <w:r w:rsidRPr="004D21A9">
        <w:t>The TRB met three times via teleconference</w:t>
      </w:r>
      <w:r w:rsidR="008034BB">
        <w:t xml:space="preserve"> on the</w:t>
      </w:r>
      <w:r w:rsidRPr="004D21A9">
        <w:t xml:space="preserve"> 22</w:t>
      </w:r>
      <w:r w:rsidRPr="004D21A9">
        <w:rPr>
          <w:vertAlign w:val="superscript"/>
        </w:rPr>
        <w:t>nd</w:t>
      </w:r>
      <w:r w:rsidRPr="004D21A9">
        <w:t>, 24</w:t>
      </w:r>
      <w:r w:rsidRPr="004D21A9">
        <w:rPr>
          <w:vertAlign w:val="superscript"/>
        </w:rPr>
        <w:t>th</w:t>
      </w:r>
      <w:r w:rsidRPr="004D21A9">
        <w:t xml:space="preserve"> and 26</w:t>
      </w:r>
      <w:r w:rsidRPr="004D21A9">
        <w:rPr>
          <w:vertAlign w:val="superscript"/>
        </w:rPr>
        <w:t>th</w:t>
      </w:r>
      <w:r w:rsidRPr="004D21A9">
        <w:t xml:space="preserve"> </w:t>
      </w:r>
      <w:r w:rsidR="008034BB">
        <w:t xml:space="preserve">of </w:t>
      </w:r>
      <w:r w:rsidRPr="004D21A9">
        <w:t>October</w:t>
      </w:r>
      <w:r w:rsidR="008034BB">
        <w:t xml:space="preserve"> 2012</w:t>
      </w:r>
      <w:r w:rsidRPr="004D21A9">
        <w:t>. In the first meeting the TRB discussed the fundamental questions, factors to consider and determined what additional information was needed to make a recommendation.</w:t>
      </w:r>
      <w:r w:rsidR="008034BB">
        <w:t xml:space="preserve"> Tasks were then assigned to the team.</w:t>
      </w:r>
      <w:r w:rsidRPr="004D21A9">
        <w:t xml:space="preserve"> In the second meeting this additional information was reviewed</w:t>
      </w:r>
      <w:r>
        <w:t>. In the 3</w:t>
      </w:r>
      <w:r w:rsidRPr="004D21A9">
        <w:rPr>
          <w:vertAlign w:val="superscript"/>
        </w:rPr>
        <w:t>rd</w:t>
      </w:r>
      <w:r>
        <w:t xml:space="preserve"> meeting </w:t>
      </w:r>
      <w:r w:rsidRPr="004D21A9">
        <w:t xml:space="preserve">the committee </w:t>
      </w:r>
      <w:r>
        <w:t xml:space="preserve">(discussed and) </w:t>
      </w:r>
      <w:r w:rsidRPr="004D21A9">
        <w:t>agreed on the recommendations in this report.</w:t>
      </w:r>
    </w:p>
    <w:p w:rsidR="00654041" w:rsidRDefault="00654041" w:rsidP="00654041">
      <w:pPr>
        <w:pStyle w:val="Default"/>
        <w:jc w:val="both"/>
      </w:pPr>
    </w:p>
    <w:p w:rsidR="00A5141D" w:rsidRDefault="00A5141D" w:rsidP="00654041">
      <w:pPr>
        <w:pStyle w:val="Default"/>
        <w:jc w:val="both"/>
      </w:pPr>
      <w:r>
        <w:t>In response to question 1 in the charge the TRB has confirmed</w:t>
      </w:r>
      <w:r w:rsidRPr="00A5141D">
        <w:t xml:space="preserve"> from the </w:t>
      </w:r>
      <w:proofErr w:type="spellStart"/>
      <w:r w:rsidRPr="00A5141D">
        <w:t>Zemax</w:t>
      </w:r>
      <w:proofErr w:type="spellEnd"/>
      <w:r w:rsidRPr="00A5141D">
        <w:t xml:space="preserve"> models and associated report (refer to </w:t>
      </w:r>
      <w:hyperlink r:id="rId13" w:tooltip="LIGO-L1200282-v4" w:history="1">
        <w:r w:rsidRPr="00A5141D">
          <w:rPr>
            <w:rStyle w:val="Hyperlink"/>
          </w:rPr>
          <w:t>LIGO-L1200282-v4</w:t>
        </w:r>
      </w:hyperlink>
      <w:r w:rsidRPr="00A5141D">
        <w:t xml:space="preserve">) that in order to separate the x and y ALS green beams, we need the wedge angle of </w:t>
      </w:r>
      <w:proofErr w:type="spellStart"/>
      <w:r w:rsidRPr="00A5141D">
        <w:t>CPy</w:t>
      </w:r>
      <w:proofErr w:type="spellEnd"/>
      <w:r w:rsidRPr="00A5141D">
        <w:t xml:space="preserve"> to be rotated 180 degrees from its current position in the </w:t>
      </w:r>
      <w:proofErr w:type="spellStart"/>
      <w:r w:rsidRPr="00A5141D">
        <w:t>ITMy</w:t>
      </w:r>
      <w:proofErr w:type="spellEnd"/>
      <w:r w:rsidRPr="00A5141D">
        <w:t xml:space="preserve"> suspension. </w:t>
      </w:r>
      <w:r>
        <w:t xml:space="preserve">However, there is an option to handle this lack of spatial separation </w:t>
      </w:r>
      <w:r w:rsidR="008034BB">
        <w:t xml:space="preserve">of the green </w:t>
      </w:r>
      <w:r w:rsidR="008C3096">
        <w:t xml:space="preserve">beams </w:t>
      </w:r>
      <w:r w:rsidR="00AD6E5F">
        <w:t>separately. Therefore all options will be kept alive and</w:t>
      </w:r>
      <w:r>
        <w:t xml:space="preserve"> outlined </w:t>
      </w:r>
      <w:r w:rsidR="00AD6E5F">
        <w:t>in detail below</w:t>
      </w:r>
      <w:r>
        <w:t xml:space="preserve">. </w:t>
      </w:r>
    </w:p>
    <w:p w:rsidR="00654041" w:rsidRDefault="00654041" w:rsidP="00654041">
      <w:pPr>
        <w:pStyle w:val="Default"/>
        <w:jc w:val="both"/>
      </w:pPr>
    </w:p>
    <w:p w:rsidR="00D808F8" w:rsidRDefault="00D808F8" w:rsidP="00654041">
      <w:pPr>
        <w:pStyle w:val="Default"/>
        <w:jc w:val="both"/>
      </w:pPr>
      <w:r>
        <w:t xml:space="preserve">After careful consideration and discussion with on-site teams at both LLO and LHO the baseline </w:t>
      </w:r>
      <w:r w:rsidRPr="008C3096">
        <w:rPr>
          <w:u w:val="single"/>
        </w:rPr>
        <w:t>(unless stated differently below)</w:t>
      </w:r>
      <w:r>
        <w:t xml:space="preserve"> is that </w:t>
      </w:r>
      <w:r w:rsidRPr="008C3096">
        <w:t xml:space="preserve">all options assume that both installation and testing continues with </w:t>
      </w:r>
      <w:r w:rsidR="009876D2" w:rsidRPr="008C3096">
        <w:t xml:space="preserve">the layout </w:t>
      </w:r>
      <w:r w:rsidR="008C3096" w:rsidRPr="008C3096">
        <w:t xml:space="preserve">drawings </w:t>
      </w:r>
      <w:r w:rsidR="009876D2" w:rsidRPr="008C3096">
        <w:t>that we have now and</w:t>
      </w:r>
      <w:r w:rsidRPr="008C3096">
        <w:t xml:space="preserve"> </w:t>
      </w:r>
      <w:r w:rsidR="009876D2" w:rsidRPr="008C3096">
        <w:t xml:space="preserve">the actual </w:t>
      </w:r>
      <w:r w:rsidRPr="008C3096">
        <w:t>single CP’s</w:t>
      </w:r>
      <w:r w:rsidR="008C3096" w:rsidRPr="008C3096">
        <w:t xml:space="preserve"> i.e. with a known mistake</w:t>
      </w:r>
      <w:r w:rsidRPr="008C3096">
        <w:t>. All and any changes required will be handled via retrofit</w:t>
      </w:r>
      <w:r>
        <w:t xml:space="preserve"> / switch outs / moves at later dates.</w:t>
      </w:r>
    </w:p>
    <w:p w:rsidR="00D808F8" w:rsidRPr="004D21A9" w:rsidRDefault="00D808F8" w:rsidP="004D21A9">
      <w:pPr>
        <w:pStyle w:val="Default"/>
      </w:pPr>
    </w:p>
    <w:p w:rsidR="004D21A9" w:rsidRPr="004D21A9" w:rsidRDefault="001A1B91" w:rsidP="001A1B91">
      <w:pPr>
        <w:pStyle w:val="Default"/>
        <w:numPr>
          <w:ilvl w:val="1"/>
          <w:numId w:val="16"/>
        </w:numPr>
        <w:rPr>
          <w:u w:val="single"/>
        </w:rPr>
      </w:pPr>
      <w:r>
        <w:rPr>
          <w:u w:val="single"/>
        </w:rPr>
        <w:t>O</w:t>
      </w:r>
      <w:r w:rsidR="004D21A9" w:rsidRPr="004D21A9">
        <w:rPr>
          <w:u w:val="single"/>
        </w:rPr>
        <w:t xml:space="preserve">ptions available to </w:t>
      </w:r>
      <w:proofErr w:type="spellStart"/>
      <w:r w:rsidR="004D21A9" w:rsidRPr="004D21A9">
        <w:rPr>
          <w:u w:val="single"/>
        </w:rPr>
        <w:t>aLIGO</w:t>
      </w:r>
      <w:proofErr w:type="spellEnd"/>
      <w:r w:rsidR="004D21A9" w:rsidRPr="004D21A9">
        <w:rPr>
          <w:u w:val="single"/>
        </w:rPr>
        <w:t xml:space="preserve"> management</w:t>
      </w:r>
    </w:p>
    <w:p w:rsidR="0050344F" w:rsidRDefault="0050344F" w:rsidP="009D3757">
      <w:pPr>
        <w:pStyle w:val="Default"/>
        <w:jc w:val="both"/>
      </w:pPr>
    </w:p>
    <w:p w:rsidR="0050344F" w:rsidRDefault="006F7D19" w:rsidP="00096C3A">
      <w:pPr>
        <w:pStyle w:val="Default"/>
        <w:jc w:val="both"/>
        <w:rPr>
          <w:sz w:val="23"/>
          <w:szCs w:val="23"/>
        </w:rPr>
      </w:pPr>
      <w:r>
        <w:t xml:space="preserve">The </w:t>
      </w:r>
      <w:r w:rsidR="005D3056">
        <w:t xml:space="preserve">first </w:t>
      </w:r>
      <w:r>
        <w:t xml:space="preserve">3 options </w:t>
      </w:r>
      <w:r w:rsidR="005D3056">
        <w:t xml:space="preserve">below </w:t>
      </w:r>
      <w:r w:rsidR="000D580D">
        <w:t xml:space="preserve">assume we would go to a </w:t>
      </w:r>
      <w:r w:rsidR="000D580D">
        <w:rPr>
          <w:sz w:val="23"/>
          <w:szCs w:val="23"/>
        </w:rPr>
        <w:t>left and right handed version of the ITM suspensions</w:t>
      </w:r>
      <w:r w:rsidR="008034BB">
        <w:rPr>
          <w:sz w:val="23"/>
          <w:szCs w:val="23"/>
        </w:rPr>
        <w:t xml:space="preserve"> i.e. different CP’s</w:t>
      </w:r>
      <w:r w:rsidR="000D580D">
        <w:rPr>
          <w:sz w:val="23"/>
          <w:szCs w:val="23"/>
        </w:rPr>
        <w:t>.</w:t>
      </w:r>
    </w:p>
    <w:p w:rsidR="009373C7" w:rsidRDefault="009373C7" w:rsidP="000D580D">
      <w:pPr>
        <w:pStyle w:val="Default"/>
      </w:pPr>
    </w:p>
    <w:p w:rsidR="000D580D" w:rsidRPr="005D3056" w:rsidRDefault="000D580D" w:rsidP="001A1B91">
      <w:pPr>
        <w:pStyle w:val="Default"/>
        <w:numPr>
          <w:ilvl w:val="2"/>
          <w:numId w:val="16"/>
        </w:numPr>
        <w:rPr>
          <w:u w:val="single"/>
        </w:rPr>
      </w:pPr>
      <w:r w:rsidRPr="005D3056">
        <w:rPr>
          <w:u w:val="single"/>
        </w:rPr>
        <w:t xml:space="preserve">Rework a </w:t>
      </w:r>
      <w:proofErr w:type="spellStart"/>
      <w:r w:rsidRPr="005D3056">
        <w:rPr>
          <w:u w:val="single"/>
        </w:rPr>
        <w:t>CPx</w:t>
      </w:r>
      <w:proofErr w:type="spellEnd"/>
      <w:r w:rsidRPr="005D3056">
        <w:rPr>
          <w:u w:val="single"/>
        </w:rPr>
        <w:t xml:space="preserve"> optic in an </w:t>
      </w:r>
      <w:proofErr w:type="spellStart"/>
      <w:r w:rsidRPr="005D3056">
        <w:rPr>
          <w:u w:val="single"/>
        </w:rPr>
        <w:t>ITMy</w:t>
      </w:r>
      <w:proofErr w:type="spellEnd"/>
      <w:r w:rsidRPr="005D3056">
        <w:rPr>
          <w:u w:val="single"/>
        </w:rPr>
        <w:t xml:space="preserve"> suspension </w:t>
      </w:r>
    </w:p>
    <w:p w:rsidR="008C2F6A" w:rsidRDefault="008C2F6A" w:rsidP="009D3757">
      <w:pPr>
        <w:pStyle w:val="Default"/>
        <w:jc w:val="both"/>
      </w:pPr>
    </w:p>
    <w:p w:rsidR="000D580D" w:rsidRPr="00A5141D" w:rsidRDefault="001C0BE0" w:rsidP="00654041">
      <w:pPr>
        <w:pStyle w:val="Default"/>
        <w:jc w:val="both"/>
      </w:pPr>
      <w:r>
        <w:t xml:space="preserve">If we change to a left and right handed version of the ITM suspensions </w:t>
      </w:r>
      <w:r w:rsidR="007806AF">
        <w:t xml:space="preserve">one option would be to re-work 2 of the existing CP’s </w:t>
      </w:r>
      <w:r w:rsidR="009D3757">
        <w:t xml:space="preserve">(we currently have two on the shelf at CIT) </w:t>
      </w:r>
      <w:r w:rsidR="007806AF">
        <w:t xml:space="preserve">into </w:t>
      </w:r>
      <w:proofErr w:type="spellStart"/>
      <w:r w:rsidR="007806AF">
        <w:t>CPx’s</w:t>
      </w:r>
      <w:proofErr w:type="spellEnd"/>
      <w:r w:rsidR="007806AF">
        <w:t xml:space="preserve"> for use in the </w:t>
      </w:r>
      <w:proofErr w:type="spellStart"/>
      <w:r w:rsidR="007806AF">
        <w:t>ITMy</w:t>
      </w:r>
      <w:proofErr w:type="spellEnd"/>
      <w:r w:rsidR="007806AF">
        <w:t xml:space="preserve"> suspensions. This would involve re-works to the gold pattern on the barrel of the CP and re-works to the ca</w:t>
      </w:r>
      <w:r w:rsidR="009D3757">
        <w:t xml:space="preserve">bling associated with the ESD. </w:t>
      </w:r>
      <w:r w:rsidR="009D3757" w:rsidRPr="001F60C6">
        <w:t xml:space="preserve">In more detail, one scenario would be to bond </w:t>
      </w:r>
      <w:r w:rsidR="001F60C6" w:rsidRPr="001F60C6">
        <w:t xml:space="preserve">a new </w:t>
      </w:r>
      <w:r w:rsidR="000D580D" w:rsidRPr="001F60C6">
        <w:t>longer</w:t>
      </w:r>
      <w:r w:rsidR="001F60C6" w:rsidRPr="001F60C6">
        <w:t xml:space="preserve"> version</w:t>
      </w:r>
      <w:r w:rsidR="000D580D" w:rsidRPr="001F60C6">
        <w:t xml:space="preserve"> </w:t>
      </w:r>
      <w:r w:rsidR="009D3757" w:rsidRPr="001F60C6">
        <w:t xml:space="preserve">ESD </w:t>
      </w:r>
      <w:r w:rsidR="000D580D" w:rsidRPr="001F60C6">
        <w:t>cable</w:t>
      </w:r>
      <w:r w:rsidR="009D3757" w:rsidRPr="001F60C6">
        <w:t>s</w:t>
      </w:r>
      <w:r w:rsidR="000D580D" w:rsidRPr="001F60C6">
        <w:t xml:space="preserve"> </w:t>
      </w:r>
      <w:r w:rsidR="008034BB" w:rsidRPr="001F60C6">
        <w:t xml:space="preserve">(with pad) </w:t>
      </w:r>
      <w:r w:rsidR="009D3757" w:rsidRPr="001F60C6">
        <w:t>at the “new</w:t>
      </w:r>
      <w:r w:rsidR="001F60C6" w:rsidRPr="001F60C6">
        <w:t>”</w:t>
      </w:r>
      <w:r w:rsidR="009D3757" w:rsidRPr="001F60C6">
        <w:t xml:space="preserve"> 12 o’clock position a</w:t>
      </w:r>
      <w:r w:rsidR="001F60C6" w:rsidRPr="001F60C6">
        <w:t xml:space="preserve">nd run 2 of the 5 cables </w:t>
      </w:r>
      <w:r w:rsidR="009D3757" w:rsidRPr="001F60C6">
        <w:t>round the barrel of the CP barrel to connect at the 3 and 9 o’clock</w:t>
      </w:r>
      <w:r w:rsidR="001F60C6" w:rsidRPr="001F60C6">
        <w:t xml:space="preserve"> </w:t>
      </w:r>
      <w:r w:rsidR="00220BAE" w:rsidRPr="001F60C6">
        <w:t>positions.</w:t>
      </w:r>
      <w:r w:rsidR="00220BAE">
        <w:t xml:space="preserve"> This</w:t>
      </w:r>
      <w:r w:rsidR="00D808F8">
        <w:t xml:space="preserve"> would take on the order of </w:t>
      </w:r>
      <w:r w:rsidR="00220BAE">
        <w:t>8</w:t>
      </w:r>
      <w:r w:rsidR="00DA4A3F">
        <w:t xml:space="preserve"> weeks </w:t>
      </w:r>
      <w:proofErr w:type="gramStart"/>
      <w:r w:rsidR="00DA4A3F">
        <w:t xml:space="preserve">or  </w:t>
      </w:r>
      <w:r w:rsidR="00220BAE">
        <w:t>40</w:t>
      </w:r>
      <w:proofErr w:type="gramEnd"/>
      <w:r w:rsidR="00DA4A3F">
        <w:t xml:space="preserve"> business</w:t>
      </w:r>
      <w:r w:rsidR="00D808F8">
        <w:t xml:space="preserve"> days</w:t>
      </w:r>
      <w:r w:rsidR="00DA4A3F">
        <w:t>.</w:t>
      </w:r>
    </w:p>
    <w:p w:rsidR="009D3757" w:rsidRDefault="00D808F8" w:rsidP="00D53A0F">
      <w:pPr>
        <w:pStyle w:val="Default"/>
        <w:jc w:val="both"/>
      </w:pPr>
      <w:r w:rsidRPr="008C3096">
        <w:t>Assuming as stated above that installation and testing continu</w:t>
      </w:r>
      <w:r w:rsidR="008C3096" w:rsidRPr="008C3096">
        <w:t>es with the existing layout and with the</w:t>
      </w:r>
      <w:r w:rsidRPr="008C3096">
        <w:t xml:space="preserve"> single CP’s</w:t>
      </w:r>
      <w:r w:rsidR="008C3096" w:rsidRPr="008C3096">
        <w:t xml:space="preserve"> i.e. with a known mistake</w:t>
      </w:r>
      <w:r>
        <w:t xml:space="preserve"> then this option would also involve (</w:t>
      </w:r>
      <w:r w:rsidR="004358B2">
        <w:t>at some l</w:t>
      </w:r>
      <w:r w:rsidR="00DA4A3F">
        <w:t>ater date, estimated at least 35</w:t>
      </w:r>
      <w:r w:rsidR="004358B2">
        <w:t xml:space="preserve"> days from now) </w:t>
      </w:r>
      <w:r>
        <w:t xml:space="preserve">the following: </w:t>
      </w:r>
      <w:r w:rsidR="009D3757">
        <w:t>-</w:t>
      </w:r>
    </w:p>
    <w:p w:rsidR="009D3757" w:rsidRDefault="004358B2" w:rsidP="009D3757">
      <w:pPr>
        <w:pStyle w:val="Default"/>
        <w:numPr>
          <w:ilvl w:val="0"/>
          <w:numId w:val="17"/>
        </w:numPr>
        <w:jc w:val="both"/>
      </w:pPr>
      <w:r>
        <w:t xml:space="preserve">Switch out of the </w:t>
      </w:r>
      <w:r w:rsidR="009D3757">
        <w:t>CP in LBSC1</w:t>
      </w:r>
      <w:r w:rsidR="00CA15CD">
        <w:t xml:space="preserve"> (</w:t>
      </w:r>
      <w:proofErr w:type="spellStart"/>
      <w:r w:rsidR="00CA15CD">
        <w:t>ITMy</w:t>
      </w:r>
      <w:proofErr w:type="spellEnd"/>
      <w:r w:rsidR="00CA15CD">
        <w:t>) in chamber</w:t>
      </w:r>
      <w:r>
        <w:t xml:space="preserve"> (utilizing existing FMP tooling</w:t>
      </w:r>
      <w:r w:rsidR="00D53A0F">
        <w:t xml:space="preserve"> </w:t>
      </w:r>
      <w:proofErr w:type="spellStart"/>
      <w:r w:rsidR="00D53A0F">
        <w:t>i.e</w:t>
      </w:r>
      <w:proofErr w:type="spellEnd"/>
      <w:r w:rsidR="00D53A0F">
        <w:t xml:space="preserve"> the BSC repair arm</w:t>
      </w:r>
      <w:r>
        <w:t>)</w:t>
      </w:r>
      <w:r w:rsidR="00821FDF">
        <w:t xml:space="preserve"> –</w:t>
      </w:r>
      <w:r w:rsidR="00D53A0F">
        <w:t xml:space="preserve"> 10</w:t>
      </w:r>
      <w:r w:rsidR="00821FDF">
        <w:t xml:space="preserve"> days</w:t>
      </w:r>
    </w:p>
    <w:p w:rsidR="009D3757" w:rsidRDefault="004358B2" w:rsidP="004358B2">
      <w:pPr>
        <w:pStyle w:val="Default"/>
        <w:numPr>
          <w:ilvl w:val="0"/>
          <w:numId w:val="17"/>
        </w:numPr>
        <w:jc w:val="both"/>
      </w:pPr>
      <w:r>
        <w:t xml:space="preserve">Switch out of the CP </w:t>
      </w:r>
      <w:r w:rsidR="009D3757">
        <w:t xml:space="preserve">in WBSC1 </w:t>
      </w:r>
      <w:r w:rsidR="00CA15CD">
        <w:t>(</w:t>
      </w:r>
      <w:proofErr w:type="spellStart"/>
      <w:r w:rsidR="00CA15CD">
        <w:t>ITMy</w:t>
      </w:r>
      <w:proofErr w:type="spellEnd"/>
      <w:r w:rsidR="00CA15CD">
        <w:t xml:space="preserve">)  in chamber </w:t>
      </w:r>
      <w:r>
        <w:t xml:space="preserve">(utilizing </w:t>
      </w:r>
      <w:r w:rsidR="00821FDF">
        <w:t>*new* and</w:t>
      </w:r>
      <w:r>
        <w:t xml:space="preserve"> existing FMP tooling</w:t>
      </w:r>
      <w:r w:rsidR="00D53A0F">
        <w:t xml:space="preserve"> </w:t>
      </w:r>
      <w:proofErr w:type="spellStart"/>
      <w:r w:rsidR="00D53A0F">
        <w:t>i.e</w:t>
      </w:r>
      <w:proofErr w:type="spellEnd"/>
      <w:r w:rsidR="00D53A0F">
        <w:t xml:space="preserve"> the BSC repair arm</w:t>
      </w:r>
      <w:r>
        <w:t>)</w:t>
      </w:r>
      <w:r w:rsidR="00821FDF">
        <w:t xml:space="preserve"> –</w:t>
      </w:r>
      <w:r w:rsidR="00D53A0F">
        <w:t xml:space="preserve"> 10 </w:t>
      </w:r>
      <w:r w:rsidR="00821FDF">
        <w:t>days</w:t>
      </w:r>
    </w:p>
    <w:p w:rsidR="00EC6EA8" w:rsidRDefault="00EC6EA8" w:rsidP="00EC6EA8">
      <w:pPr>
        <w:pStyle w:val="Default"/>
        <w:jc w:val="both"/>
      </w:pPr>
    </w:p>
    <w:p w:rsidR="000D580D" w:rsidRPr="005D3056" w:rsidRDefault="000D580D" w:rsidP="001A1B91">
      <w:pPr>
        <w:pStyle w:val="Default"/>
        <w:numPr>
          <w:ilvl w:val="2"/>
          <w:numId w:val="16"/>
        </w:numPr>
        <w:rPr>
          <w:u w:val="single"/>
        </w:rPr>
      </w:pPr>
      <w:r w:rsidRPr="005D3056">
        <w:rPr>
          <w:u w:val="single"/>
        </w:rPr>
        <w:t xml:space="preserve">Make new </w:t>
      </w:r>
      <w:proofErr w:type="spellStart"/>
      <w:r w:rsidRPr="005D3056">
        <w:rPr>
          <w:u w:val="single"/>
        </w:rPr>
        <w:t>CPy</w:t>
      </w:r>
      <w:proofErr w:type="spellEnd"/>
      <w:r w:rsidRPr="005D3056">
        <w:rPr>
          <w:u w:val="single"/>
        </w:rPr>
        <w:t xml:space="preserve"> optics</w:t>
      </w:r>
      <w:r w:rsidR="00821FDF">
        <w:rPr>
          <w:u w:val="single"/>
        </w:rPr>
        <w:t xml:space="preserve"> </w:t>
      </w:r>
    </w:p>
    <w:p w:rsidR="004358B2" w:rsidRDefault="001C0BE0" w:rsidP="00654041">
      <w:pPr>
        <w:pStyle w:val="Default"/>
        <w:jc w:val="both"/>
      </w:pPr>
      <w:r>
        <w:t xml:space="preserve">If we change to a left and right handed version of the ITM suspensions another idea would be </w:t>
      </w:r>
      <w:r w:rsidR="00006983">
        <w:t>to make</w:t>
      </w:r>
      <w:r w:rsidR="00D808F8">
        <w:t xml:space="preserve"> “new”</w:t>
      </w:r>
      <w:r w:rsidR="00006983">
        <w:t xml:space="preserve"> </w:t>
      </w:r>
      <w:proofErr w:type="spellStart"/>
      <w:r w:rsidR="00006983">
        <w:t>CPy</w:t>
      </w:r>
      <w:proofErr w:type="spellEnd"/>
      <w:r w:rsidR="00006983">
        <w:t xml:space="preserve"> optics. </w:t>
      </w:r>
      <w:r w:rsidR="00EC5F7A">
        <w:t>Advanced LIGO has</w:t>
      </w:r>
      <w:r w:rsidR="001A1B91">
        <w:t xml:space="preserve"> 9 CP’s for 3 </w:t>
      </w:r>
      <w:r>
        <w:t xml:space="preserve">interferometers. Currently 2 are uncoated and 7 are plated </w:t>
      </w:r>
      <w:r w:rsidR="00EC5F7A">
        <w:t>for use in</w:t>
      </w:r>
      <w:r>
        <w:t xml:space="preserve"> the single type </w:t>
      </w:r>
      <w:r w:rsidR="00EC5F7A">
        <w:t>ITM Suspension (</w:t>
      </w:r>
      <w:proofErr w:type="spellStart"/>
      <w:r>
        <w:t>CP</w:t>
      </w:r>
      <w:r w:rsidR="00EC5F7A">
        <w:t>x</w:t>
      </w:r>
      <w:proofErr w:type="spellEnd"/>
      <w:r w:rsidR="00EC5F7A">
        <w:t>)</w:t>
      </w:r>
      <w:r>
        <w:t>. It costs $30,000 to strip and re-coat one optic</w:t>
      </w:r>
      <w:r w:rsidR="0021226C">
        <w:t>. We have 2 which would be free</w:t>
      </w:r>
      <w:r w:rsidR="008C2F6A">
        <w:t xml:space="preserve"> i.e. they have not been plated yet</w:t>
      </w:r>
      <w:r>
        <w:t xml:space="preserve">. </w:t>
      </w:r>
      <w:r w:rsidRPr="008C2F6A">
        <w:t>Timeframe</w:t>
      </w:r>
      <w:r w:rsidR="0021226C" w:rsidRPr="008C2F6A">
        <w:t xml:space="preserve"> </w:t>
      </w:r>
      <w:r w:rsidR="008C2F6A" w:rsidRPr="008C2F6A">
        <w:t xml:space="preserve">is </w:t>
      </w:r>
      <w:r w:rsidR="0021226C" w:rsidRPr="008C2F6A">
        <w:t>60</w:t>
      </w:r>
      <w:r w:rsidR="00D808F8" w:rsidRPr="008C2F6A">
        <w:t xml:space="preserve"> days</w:t>
      </w:r>
      <w:r w:rsidR="0021226C" w:rsidRPr="008C2F6A">
        <w:t xml:space="preserve">, through </w:t>
      </w:r>
      <w:r w:rsidR="008C2F6A" w:rsidRPr="008C2F6A">
        <w:t xml:space="preserve">to </w:t>
      </w:r>
      <w:r w:rsidR="0021226C" w:rsidRPr="008C2F6A">
        <w:t>metrology</w:t>
      </w:r>
      <w:r w:rsidR="008C2F6A" w:rsidRPr="008C2F6A">
        <w:t>.</w:t>
      </w:r>
      <w:r>
        <w:t xml:space="preserve"> </w:t>
      </w:r>
      <w:r w:rsidR="00EC5F7A">
        <w:t>It should also be noted that if this route is chosen that we will cut down on the number of spares available.</w:t>
      </w:r>
      <w:r>
        <w:t xml:space="preserve"> </w:t>
      </w:r>
    </w:p>
    <w:p w:rsidR="00D808F8" w:rsidRDefault="008C3096" w:rsidP="00654041">
      <w:pPr>
        <w:pStyle w:val="Default"/>
        <w:jc w:val="both"/>
      </w:pPr>
      <w:r>
        <w:t>Again, a</w:t>
      </w:r>
      <w:r w:rsidRPr="008C3096">
        <w:t>ssuming as stated above that installation and testing continues with the existing layout and with the single CP’s i.e. with a known mistake</w:t>
      </w:r>
      <w:r>
        <w:t xml:space="preserve"> </w:t>
      </w:r>
      <w:r w:rsidR="00D808F8">
        <w:t>then this option would also involve (at some later date, estimated at least 80 days from now</w:t>
      </w:r>
      <w:r w:rsidR="008C2F6A">
        <w:t xml:space="preserve"> including bonding of new ESD cables and shipping</w:t>
      </w:r>
      <w:r w:rsidR="00D808F8">
        <w:t>) the following: -</w:t>
      </w:r>
    </w:p>
    <w:p w:rsidR="00D808F8" w:rsidRDefault="00D808F8" w:rsidP="00D808F8">
      <w:pPr>
        <w:pStyle w:val="Default"/>
        <w:numPr>
          <w:ilvl w:val="0"/>
          <w:numId w:val="17"/>
        </w:numPr>
        <w:jc w:val="both"/>
      </w:pPr>
      <w:r>
        <w:t xml:space="preserve">Switch out of the CP in LBSC1 </w:t>
      </w:r>
      <w:r w:rsidR="00CA15CD">
        <w:t>(</w:t>
      </w:r>
      <w:proofErr w:type="spellStart"/>
      <w:r w:rsidR="00CA15CD">
        <w:t>ITMy</w:t>
      </w:r>
      <w:proofErr w:type="spellEnd"/>
      <w:r w:rsidR="00CA15CD">
        <w:t xml:space="preserve">) </w:t>
      </w:r>
      <w:r w:rsidR="008C2F6A">
        <w:t xml:space="preserve">in chamber </w:t>
      </w:r>
      <w:r>
        <w:t>(utilizing existing FMP tooling</w:t>
      </w:r>
      <w:r w:rsidR="00D53A0F">
        <w:t xml:space="preserve"> </w:t>
      </w:r>
      <w:proofErr w:type="spellStart"/>
      <w:r w:rsidR="00D53A0F">
        <w:t>i.e</w:t>
      </w:r>
      <w:proofErr w:type="spellEnd"/>
      <w:r w:rsidR="00D53A0F">
        <w:t xml:space="preserve"> the BSC repair arm</w:t>
      </w:r>
      <w:r>
        <w:t>)</w:t>
      </w:r>
      <w:r w:rsidR="00821FDF">
        <w:t xml:space="preserve"> –</w:t>
      </w:r>
      <w:r w:rsidR="00D53A0F">
        <w:t xml:space="preserve"> 10</w:t>
      </w:r>
      <w:r w:rsidR="00821FDF">
        <w:t xml:space="preserve"> days</w:t>
      </w:r>
    </w:p>
    <w:p w:rsidR="00D808F8" w:rsidRDefault="00D808F8" w:rsidP="00D808F8">
      <w:pPr>
        <w:pStyle w:val="Default"/>
        <w:numPr>
          <w:ilvl w:val="0"/>
          <w:numId w:val="17"/>
        </w:numPr>
        <w:jc w:val="both"/>
      </w:pPr>
      <w:r>
        <w:t xml:space="preserve">Switch out of the CP in WBSC1 </w:t>
      </w:r>
      <w:r w:rsidR="00CA15CD">
        <w:t>(</w:t>
      </w:r>
      <w:proofErr w:type="spellStart"/>
      <w:r w:rsidR="00CA15CD">
        <w:t>ITMy</w:t>
      </w:r>
      <w:proofErr w:type="spellEnd"/>
      <w:r w:rsidR="00CA15CD">
        <w:t xml:space="preserve">) </w:t>
      </w:r>
      <w:r w:rsidR="008C2F6A">
        <w:t xml:space="preserve">in chamber </w:t>
      </w:r>
      <w:r w:rsidR="00821FDF">
        <w:t>(utilizing</w:t>
      </w:r>
      <w:r>
        <w:t xml:space="preserve"> existing FMP tooling</w:t>
      </w:r>
      <w:r w:rsidR="00D53A0F">
        <w:t xml:space="preserve"> </w:t>
      </w:r>
      <w:proofErr w:type="spellStart"/>
      <w:r w:rsidR="00D53A0F">
        <w:t>i.e</w:t>
      </w:r>
      <w:proofErr w:type="spellEnd"/>
      <w:r w:rsidR="00D53A0F">
        <w:t xml:space="preserve"> the BSC repair arm</w:t>
      </w:r>
      <w:r>
        <w:t>)</w:t>
      </w:r>
      <w:r w:rsidR="00821FDF">
        <w:t xml:space="preserve"> –</w:t>
      </w:r>
      <w:r w:rsidR="00D53A0F">
        <w:t xml:space="preserve"> 10</w:t>
      </w:r>
      <w:r w:rsidR="00821FDF">
        <w:t xml:space="preserve"> days</w:t>
      </w:r>
    </w:p>
    <w:p w:rsidR="008C2F6A" w:rsidRDefault="008C2F6A" w:rsidP="000D580D">
      <w:pPr>
        <w:pStyle w:val="Default"/>
      </w:pPr>
    </w:p>
    <w:p w:rsidR="00D53A0F" w:rsidRDefault="00D53A0F" w:rsidP="000D580D">
      <w:pPr>
        <w:pStyle w:val="Default"/>
      </w:pPr>
    </w:p>
    <w:p w:rsidR="000D580D" w:rsidRPr="00A06EC5" w:rsidRDefault="00EC6EA8" w:rsidP="001A1B91">
      <w:pPr>
        <w:pStyle w:val="Default"/>
        <w:numPr>
          <w:ilvl w:val="2"/>
          <w:numId w:val="16"/>
        </w:numPr>
        <w:rPr>
          <w:u w:val="single"/>
        </w:rPr>
      </w:pPr>
      <w:r>
        <w:rPr>
          <w:u w:val="single"/>
        </w:rPr>
        <w:t xml:space="preserve">Flip CP </w:t>
      </w:r>
      <w:proofErr w:type="spellStart"/>
      <w:r>
        <w:rPr>
          <w:u w:val="single"/>
        </w:rPr>
        <w:t>ITMy</w:t>
      </w:r>
      <w:proofErr w:type="spellEnd"/>
      <w:r w:rsidR="000D580D" w:rsidRPr="00A06EC5">
        <w:rPr>
          <w:u w:val="single"/>
        </w:rPr>
        <w:t xml:space="preserve"> </w:t>
      </w:r>
      <w:r w:rsidR="00A06EC5" w:rsidRPr="00A06EC5">
        <w:rPr>
          <w:u w:val="single"/>
        </w:rPr>
        <w:t>(without ESD available)</w:t>
      </w:r>
    </w:p>
    <w:p w:rsidR="008C2F6A" w:rsidRDefault="008C2F6A" w:rsidP="004358B2">
      <w:pPr>
        <w:pStyle w:val="Default"/>
        <w:jc w:val="both"/>
      </w:pPr>
    </w:p>
    <w:p w:rsidR="009373C7" w:rsidRDefault="004358B2" w:rsidP="00654041">
      <w:pPr>
        <w:pStyle w:val="Default"/>
        <w:jc w:val="both"/>
      </w:pPr>
      <w:r>
        <w:t xml:space="preserve">One further idea to consider if we change to a left and right handed version of the ITM suspensions would be to flip the CP in both </w:t>
      </w:r>
      <w:proofErr w:type="spellStart"/>
      <w:r w:rsidR="00EC6EA8">
        <w:t>ITMy</w:t>
      </w:r>
      <w:proofErr w:type="spellEnd"/>
      <w:r>
        <w:t xml:space="preserve"> assemblies </w:t>
      </w:r>
      <w:r w:rsidR="00EC6EA8">
        <w:t xml:space="preserve">(BSC1) </w:t>
      </w:r>
      <w:r w:rsidR="00D808F8">
        <w:t xml:space="preserve">but in this option </w:t>
      </w:r>
      <w:r w:rsidR="001A1B91">
        <w:t xml:space="preserve">not to re-work </w:t>
      </w:r>
      <w:r w:rsidR="00D808F8">
        <w:t xml:space="preserve">the </w:t>
      </w:r>
      <w:r>
        <w:t>gold</w:t>
      </w:r>
      <w:r w:rsidR="00D808F8">
        <w:t xml:space="preserve"> on the barrel</w:t>
      </w:r>
      <w:r>
        <w:t xml:space="preserve"> and </w:t>
      </w:r>
      <w:r w:rsidR="001A1B91">
        <w:t>the ESD connectors</w:t>
      </w:r>
      <w:r w:rsidR="008C48B8">
        <w:t xml:space="preserve"> i.e. we would cut the ESD cables</w:t>
      </w:r>
      <w:r w:rsidR="002A4207">
        <w:t xml:space="preserve"> at the flex-circuit on the barrel, disconnect the cable at the other end and then remove the remaining cable</w:t>
      </w:r>
      <w:r w:rsidR="001A1B91">
        <w:t xml:space="preserve">. We would therefore have the CP in the correct orientation but would </w:t>
      </w:r>
      <w:r>
        <w:t xml:space="preserve">not have the ESD available. </w:t>
      </w:r>
      <w:r w:rsidR="009373C7">
        <w:t xml:space="preserve">How big a deal is it not to have ESD available in the ITM’s? Not a big deal as really only needed in ETM’s at least for now. </w:t>
      </w:r>
    </w:p>
    <w:p w:rsidR="008C48B8" w:rsidRDefault="008C48B8" w:rsidP="004358B2">
      <w:pPr>
        <w:pStyle w:val="Default"/>
        <w:jc w:val="both"/>
      </w:pPr>
      <w:r>
        <w:t xml:space="preserve">It should be noted that this option would not need a re-work to the prisms as they are on the center-line. Furthermore the remaining ESD pad and cables could stay on the optic, now at the 6 o-clock position. </w:t>
      </w:r>
      <w:r w:rsidR="002A4207">
        <w:t xml:space="preserve">It would however need some careful effort in terms of maintaining alignment and balance. </w:t>
      </w:r>
      <w:r w:rsidR="004358B2">
        <w:t xml:space="preserve">This option would of course need us to consider either option </w:t>
      </w:r>
      <w:r>
        <w:t>2.2.1 or 2.2.2 at a later date i.e. 35 to 80 days depending on which option is chosen.</w:t>
      </w:r>
      <w:r w:rsidR="004358B2">
        <w:t xml:space="preserve"> </w:t>
      </w:r>
    </w:p>
    <w:p w:rsidR="009373C7" w:rsidRDefault="004358B2" w:rsidP="004358B2">
      <w:pPr>
        <w:pStyle w:val="Default"/>
        <w:jc w:val="both"/>
      </w:pPr>
      <w:r>
        <w:t xml:space="preserve">Again as above in both 2.2.1 and 2.2.2 this retrofit would require in chamber work </w:t>
      </w:r>
      <w:r w:rsidR="00D808F8">
        <w:t>utilizing</w:t>
      </w:r>
      <w:r>
        <w:t xml:space="preserve"> </w:t>
      </w:r>
      <w:r w:rsidR="00821FDF">
        <w:t xml:space="preserve">*new* and existing </w:t>
      </w:r>
      <w:r>
        <w:t>FMP tooling</w:t>
      </w:r>
      <w:r w:rsidR="00821FDF">
        <w:t xml:space="preserve"> – 3 days (as no ESD re-connect)</w:t>
      </w:r>
      <w:r>
        <w:t xml:space="preserve">. </w:t>
      </w:r>
    </w:p>
    <w:p w:rsidR="009373C7" w:rsidRDefault="009373C7" w:rsidP="004358B2">
      <w:pPr>
        <w:pStyle w:val="Default"/>
        <w:jc w:val="both"/>
      </w:pPr>
    </w:p>
    <w:p w:rsidR="00D808F8" w:rsidRDefault="008C48B8" w:rsidP="00654041">
      <w:pPr>
        <w:pStyle w:val="Default"/>
        <w:jc w:val="both"/>
      </w:pPr>
      <w:r w:rsidRPr="008C48B8">
        <w:rPr>
          <w:u w:val="single"/>
        </w:rPr>
        <w:t>If this option was selected now it could be done on the test stand at both sites</w:t>
      </w:r>
      <w:r>
        <w:rPr>
          <w:u w:val="single"/>
        </w:rPr>
        <w:t xml:space="preserve"> utilizing the ergo-arm and some snips</w:t>
      </w:r>
      <w:r w:rsidR="009373C7">
        <w:rPr>
          <w:u w:val="single"/>
        </w:rPr>
        <w:t xml:space="preserve"> – 1 day</w:t>
      </w:r>
      <w:r w:rsidRPr="008C48B8">
        <w:rPr>
          <w:u w:val="single"/>
        </w:rPr>
        <w:t>.</w:t>
      </w:r>
    </w:p>
    <w:p w:rsidR="000D580D" w:rsidRDefault="000D580D" w:rsidP="004358B2">
      <w:pPr>
        <w:pStyle w:val="Default"/>
        <w:jc w:val="both"/>
      </w:pPr>
    </w:p>
    <w:p w:rsidR="000D580D" w:rsidRDefault="000D580D" w:rsidP="000D580D">
      <w:pPr>
        <w:pStyle w:val="Default"/>
      </w:pPr>
    </w:p>
    <w:p w:rsidR="002A4207" w:rsidRDefault="002A4207" w:rsidP="000D580D">
      <w:pPr>
        <w:pStyle w:val="Default"/>
      </w:pPr>
    </w:p>
    <w:p w:rsidR="009373C7" w:rsidRDefault="009373C7" w:rsidP="000D580D">
      <w:pPr>
        <w:pStyle w:val="Default"/>
      </w:pPr>
    </w:p>
    <w:p w:rsidR="00D53A0F" w:rsidRDefault="00D53A0F" w:rsidP="000D580D">
      <w:pPr>
        <w:pStyle w:val="Default"/>
      </w:pPr>
    </w:p>
    <w:p w:rsidR="00D53A0F" w:rsidRDefault="00D53A0F" w:rsidP="000D580D">
      <w:pPr>
        <w:pStyle w:val="Default"/>
      </w:pPr>
    </w:p>
    <w:p w:rsidR="00D53A0F" w:rsidRDefault="00D53A0F" w:rsidP="000D580D">
      <w:pPr>
        <w:pStyle w:val="Default"/>
      </w:pPr>
    </w:p>
    <w:p w:rsidR="00D53A0F" w:rsidRDefault="00D53A0F" w:rsidP="000D580D">
      <w:pPr>
        <w:pStyle w:val="Default"/>
      </w:pPr>
    </w:p>
    <w:p w:rsidR="000D580D" w:rsidRDefault="006F7D19" w:rsidP="00654041">
      <w:pPr>
        <w:pStyle w:val="Default"/>
        <w:jc w:val="both"/>
        <w:rPr>
          <w:sz w:val="23"/>
          <w:szCs w:val="23"/>
        </w:rPr>
      </w:pPr>
      <w:r>
        <w:t>The following 2 o</w:t>
      </w:r>
      <w:r w:rsidR="000D580D">
        <w:t xml:space="preserve">ptions assume we would stay with a single type of </w:t>
      </w:r>
      <w:r w:rsidR="000D580D">
        <w:rPr>
          <w:sz w:val="23"/>
          <w:szCs w:val="23"/>
        </w:rPr>
        <w:t>ITM suspension.</w:t>
      </w:r>
    </w:p>
    <w:p w:rsidR="000D580D" w:rsidRDefault="000D580D" w:rsidP="000D580D">
      <w:pPr>
        <w:pStyle w:val="Default"/>
      </w:pPr>
    </w:p>
    <w:p w:rsidR="000D580D" w:rsidRPr="005D3056" w:rsidRDefault="006F7D19" w:rsidP="001A1B91">
      <w:pPr>
        <w:pStyle w:val="Default"/>
        <w:numPr>
          <w:ilvl w:val="2"/>
          <w:numId w:val="16"/>
        </w:numPr>
        <w:rPr>
          <w:u w:val="single"/>
        </w:rPr>
      </w:pPr>
      <w:r w:rsidRPr="005D3056">
        <w:rPr>
          <w:u w:val="single"/>
        </w:rPr>
        <w:t>H</w:t>
      </w:r>
      <w:r w:rsidR="000D580D" w:rsidRPr="005D3056">
        <w:rPr>
          <w:u w:val="single"/>
        </w:rPr>
        <w:t>andle green beams</w:t>
      </w:r>
    </w:p>
    <w:p w:rsidR="009373C7" w:rsidRDefault="009373C7" w:rsidP="009D3757">
      <w:pPr>
        <w:pStyle w:val="Default"/>
        <w:jc w:val="both"/>
      </w:pPr>
    </w:p>
    <w:p w:rsidR="00AB0355" w:rsidRDefault="000D580D" w:rsidP="00654041">
      <w:pPr>
        <w:pStyle w:val="Default"/>
        <w:jc w:val="both"/>
      </w:pPr>
      <w:r>
        <w:t>If the CP continue</w:t>
      </w:r>
      <w:r w:rsidR="00AB0355">
        <w:t>s</w:t>
      </w:r>
      <w:r>
        <w:t xml:space="preserve"> as a single version as SUS / COC currently have it </w:t>
      </w:r>
      <w:r w:rsidR="00AB0355">
        <w:t>then ISC would need to handle the close proximity of the green beams in HAM1 and there would need to be changes to the layout. This would involve: -</w:t>
      </w:r>
    </w:p>
    <w:p w:rsidR="00AB0355" w:rsidRPr="00766E7A" w:rsidRDefault="00AB0355" w:rsidP="005D3056">
      <w:pPr>
        <w:pStyle w:val="Default"/>
        <w:numPr>
          <w:ilvl w:val="0"/>
          <w:numId w:val="14"/>
        </w:numPr>
      </w:pPr>
      <w:r w:rsidRPr="00766E7A">
        <w:t>ISC devising a method to handle the close proximity of the green beams in HAM1</w:t>
      </w:r>
      <w:r w:rsidR="008034BB" w:rsidRPr="00766E7A">
        <w:t xml:space="preserve"> </w:t>
      </w:r>
      <w:r w:rsidR="008B4CA7" w:rsidRPr="00766E7A">
        <w:t>(via polarizing</w:t>
      </w:r>
      <w:r w:rsidR="008034BB" w:rsidRPr="00766E7A">
        <w:t>)</w:t>
      </w:r>
    </w:p>
    <w:p w:rsidR="00AB0355" w:rsidRDefault="00AB0355" w:rsidP="005D3056">
      <w:pPr>
        <w:pStyle w:val="Default"/>
        <w:numPr>
          <w:ilvl w:val="0"/>
          <w:numId w:val="14"/>
        </w:numPr>
      </w:pPr>
      <w:r>
        <w:t>T</w:t>
      </w:r>
      <w:r w:rsidR="008034BB">
        <w:t>he BS assembly moving</w:t>
      </w:r>
      <w:r>
        <w:t xml:space="preserve"> 5 mm in the +X direction </w:t>
      </w:r>
    </w:p>
    <w:p w:rsidR="00AB0355" w:rsidRDefault="00AB0355" w:rsidP="005D3056">
      <w:pPr>
        <w:pStyle w:val="Default"/>
        <w:numPr>
          <w:ilvl w:val="0"/>
          <w:numId w:val="14"/>
        </w:numPr>
      </w:pPr>
      <w:r>
        <w:t xml:space="preserve">The SR3 assembly (and the </w:t>
      </w:r>
      <w:r w:rsidR="008034BB">
        <w:t>baffles associated with it) moving</w:t>
      </w:r>
      <w:r>
        <w:t xml:space="preserve"> 27 mm in the +X direction on HAM5</w:t>
      </w:r>
      <w:r w:rsidR="00F127D2">
        <w:t xml:space="preserve"> (see appendix below)</w:t>
      </w:r>
    </w:p>
    <w:p w:rsidR="008B4CA7" w:rsidRDefault="008B4CA7" w:rsidP="005D3056">
      <w:pPr>
        <w:pStyle w:val="Default"/>
        <w:numPr>
          <w:ilvl w:val="0"/>
          <w:numId w:val="14"/>
        </w:numPr>
      </w:pPr>
      <w:r>
        <w:t xml:space="preserve">Other items to be determined from </w:t>
      </w:r>
      <w:proofErr w:type="spellStart"/>
      <w:r>
        <w:t>Zemax</w:t>
      </w:r>
      <w:proofErr w:type="spellEnd"/>
      <w:r>
        <w:t xml:space="preserve"> model co-ordinate </w:t>
      </w:r>
      <w:r w:rsidR="00766E7A">
        <w:t>comparison between single CP layout and current dual CP layout. – Action on Calum.</w:t>
      </w:r>
    </w:p>
    <w:p w:rsidR="008B4CA7" w:rsidRDefault="008B4CA7" w:rsidP="008B4CA7">
      <w:pPr>
        <w:pStyle w:val="Default"/>
      </w:pPr>
    </w:p>
    <w:p w:rsidR="00145AB9" w:rsidRDefault="00145AB9" w:rsidP="00145AB9">
      <w:pPr>
        <w:pStyle w:val="Default"/>
        <w:jc w:val="both"/>
      </w:pPr>
      <w:r w:rsidRPr="00145AB9">
        <w:t xml:space="preserve">The ISC </w:t>
      </w:r>
      <w:proofErr w:type="gramStart"/>
      <w:r w:rsidRPr="00145AB9">
        <w:t>team  have</w:t>
      </w:r>
      <w:proofErr w:type="gramEnd"/>
      <w:r w:rsidRPr="00145AB9">
        <w:t xml:space="preserve"> explored the possibility of using polarization to separate the ALS</w:t>
      </w:r>
      <w:r>
        <w:t xml:space="preserve"> beams. They think the technical risk of this not working is very small.</w:t>
      </w:r>
    </w:p>
    <w:p w:rsidR="008B4CA7" w:rsidRDefault="008B4CA7" w:rsidP="00654041">
      <w:pPr>
        <w:pStyle w:val="Default"/>
        <w:jc w:val="both"/>
      </w:pPr>
      <w:r>
        <w:t>For the layout, b</w:t>
      </w:r>
      <w:r w:rsidR="00AB0355">
        <w:t xml:space="preserve">oth of </w:t>
      </w:r>
      <w:r w:rsidR="008034BB">
        <w:t>t</w:t>
      </w:r>
      <w:r>
        <w:t>he known</w:t>
      </w:r>
      <w:r w:rsidR="00AB0355">
        <w:t xml:space="preserve"> relocations appear to be feasible after a quick look in the SolidWorks integrated chamber assemblies</w:t>
      </w:r>
      <w:r w:rsidR="00C9573C">
        <w:t>. Further work in SolidWorks is required, see below.</w:t>
      </w:r>
      <w:r w:rsidR="008034BB">
        <w:t xml:space="preserve"> </w:t>
      </w:r>
      <w:r w:rsidR="00AB0355">
        <w:t>Note that the BS move is not just on paper, but would require a move of the L1 BS in situ and a move of the H1 BS on the test stand.</w:t>
      </w:r>
      <w:r w:rsidR="00C9573C">
        <w:t xml:space="preserve"> In terms of the move it would involve utilizing the “pushers and movers” for which we already have both HAM and BSC types which have already been used by teams on-site. The BSC ones can be seen at </w:t>
      </w:r>
      <w:hyperlink r:id="rId14" w:tooltip="LIGO-D1100018-v3" w:history="1">
        <w:r w:rsidR="00C9573C">
          <w:rPr>
            <w:rStyle w:val="Hyperlink"/>
          </w:rPr>
          <w:t>LIGO-D1100018-v3</w:t>
        </w:r>
      </w:hyperlink>
      <w:r w:rsidR="001F60C6">
        <w:t xml:space="preserve"> and in use on page 8 of 8 in </w:t>
      </w:r>
      <w:hyperlink r:id="rId15" w:tooltip="LIGO-D0900431-v3" w:history="1">
        <w:r w:rsidR="001F60C6">
          <w:rPr>
            <w:rStyle w:val="Hyperlink"/>
          </w:rPr>
          <w:t>LIGO-D0900431-v3</w:t>
        </w:r>
      </w:hyperlink>
      <w:r w:rsidR="00C9573C">
        <w:t xml:space="preserve">. </w:t>
      </w:r>
    </w:p>
    <w:p w:rsidR="00C9573C" w:rsidRDefault="00C9573C" w:rsidP="00C9573C">
      <w:pPr>
        <w:pStyle w:val="Default"/>
        <w:jc w:val="both"/>
      </w:pPr>
      <w:r>
        <w:t xml:space="preserve">To handle this </w:t>
      </w:r>
      <w:r w:rsidR="008B4CA7">
        <w:t>overall change we would</w:t>
      </w:r>
      <w:r>
        <w:t xml:space="preserve"> probably also need to manufacture additional dog clamps. The one area of concern right now is the ability to balance the BS again as a result of this move, looking at the crowded picture </w:t>
      </w:r>
      <w:r w:rsidR="00F127D2">
        <w:t>in the appendix below</w:t>
      </w:r>
      <w:r>
        <w:t xml:space="preserve"> gives some sense of why this is a concern.</w:t>
      </w:r>
      <w:r w:rsidR="008B4CA7">
        <w:t xml:space="preserve"> </w:t>
      </w:r>
      <w:r w:rsidRPr="00C9573C">
        <w:t>This is the reason that for this option the committee suggests that</w:t>
      </w:r>
      <w:r w:rsidR="008B4CA7">
        <w:t xml:space="preserve"> more investigation work is required here</w:t>
      </w:r>
      <w:r w:rsidRPr="00C9573C">
        <w:t>. The proposal is that O/T is increased for both Ed Chavez and Eddie Sanchez in w/b 29</w:t>
      </w:r>
      <w:r w:rsidRPr="00C9573C">
        <w:rPr>
          <w:vertAlign w:val="superscript"/>
        </w:rPr>
        <w:t>th</w:t>
      </w:r>
      <w:r w:rsidRPr="00C9573C">
        <w:t xml:space="preserve"> October and that Calum Torrie work with both of them on the details of the proposed moves in BSC2 and HAM4.</w:t>
      </w:r>
    </w:p>
    <w:p w:rsidR="005D3056" w:rsidRDefault="00A56718" w:rsidP="00654041">
      <w:pPr>
        <w:pStyle w:val="Default"/>
        <w:jc w:val="both"/>
      </w:pPr>
      <w:r>
        <w:t xml:space="preserve">As stated before this </w:t>
      </w:r>
      <w:r w:rsidR="00A06EC5">
        <w:t>option</w:t>
      </w:r>
      <w:r>
        <w:t xml:space="preserve"> would allow us to continue with installation and testing with the current layout and then move both the BS and SR3 </w:t>
      </w:r>
      <w:r w:rsidR="008B4CA7">
        <w:t xml:space="preserve">(and any other items) </w:t>
      </w:r>
      <w:r>
        <w:t>at a later date, when we have the updated layouts complete and when there is an appropriate time in the schedule.</w:t>
      </w:r>
      <w:r w:rsidR="008B4CA7">
        <w:t xml:space="preserve"> As already stated this choice requires the additional effort by ISC to handle the close proximity of the green beams, see detail above.</w:t>
      </w:r>
    </w:p>
    <w:p w:rsidR="00C9573C" w:rsidRDefault="00C9573C" w:rsidP="00C9573C">
      <w:pPr>
        <w:pStyle w:val="Default"/>
        <w:jc w:val="both"/>
      </w:pPr>
    </w:p>
    <w:p w:rsidR="008B4CA7" w:rsidRDefault="008B4CA7" w:rsidP="001A1B91">
      <w:pPr>
        <w:pStyle w:val="Default"/>
        <w:jc w:val="both"/>
        <w:rPr>
          <w:i/>
          <w:color w:val="000000" w:themeColor="text1"/>
          <w:highlight w:val="red"/>
        </w:rPr>
      </w:pPr>
      <w:r w:rsidRPr="008B4CA7">
        <w:rPr>
          <w:i/>
          <w:color w:val="000000" w:themeColor="text1"/>
          <w:highlight w:val="red"/>
        </w:rPr>
        <w:t xml:space="preserve">Note - Could </w:t>
      </w:r>
      <w:r>
        <w:rPr>
          <w:i/>
          <w:color w:val="000000" w:themeColor="text1"/>
          <w:highlight w:val="red"/>
        </w:rPr>
        <w:t xml:space="preserve">the 5mm </w:t>
      </w:r>
      <w:r w:rsidRPr="008B4CA7">
        <w:rPr>
          <w:i/>
          <w:color w:val="000000" w:themeColor="text1"/>
          <w:highlight w:val="red"/>
        </w:rPr>
        <w:t>BS move be done by HEPI, Calum to re-ask SEI?</w:t>
      </w:r>
    </w:p>
    <w:p w:rsidR="008B4CA7" w:rsidRDefault="008B4CA7" w:rsidP="001A1B91">
      <w:pPr>
        <w:pStyle w:val="Default"/>
        <w:jc w:val="both"/>
        <w:rPr>
          <w:i/>
          <w:color w:val="auto"/>
          <w:highlight w:val="yellow"/>
        </w:rPr>
      </w:pPr>
    </w:p>
    <w:p w:rsidR="00E07C54" w:rsidRPr="00057905" w:rsidRDefault="00057905" w:rsidP="001A1B91">
      <w:pPr>
        <w:pStyle w:val="Default"/>
        <w:jc w:val="both"/>
        <w:rPr>
          <w:i/>
          <w:color w:val="auto"/>
        </w:rPr>
      </w:pPr>
      <w:r w:rsidRPr="00057905">
        <w:rPr>
          <w:i/>
          <w:color w:val="auto"/>
          <w:highlight w:val="yellow"/>
        </w:rPr>
        <w:t xml:space="preserve">Note - </w:t>
      </w:r>
      <w:r w:rsidR="008034BB" w:rsidRPr="00057905">
        <w:rPr>
          <w:i/>
          <w:color w:val="auto"/>
          <w:highlight w:val="yellow"/>
        </w:rPr>
        <w:t xml:space="preserve">Could we </w:t>
      </w:r>
      <w:r w:rsidR="00C9573C" w:rsidRPr="00057905">
        <w:rPr>
          <w:i/>
          <w:color w:val="auto"/>
          <w:highlight w:val="yellow"/>
        </w:rPr>
        <w:t xml:space="preserve">also </w:t>
      </w:r>
      <w:r w:rsidR="008034BB" w:rsidRPr="00057905">
        <w:rPr>
          <w:i/>
          <w:color w:val="auto"/>
          <w:highlight w:val="yellow"/>
        </w:rPr>
        <w:t xml:space="preserve">offer </w:t>
      </w:r>
      <w:r w:rsidR="00C9573C" w:rsidRPr="00057905">
        <w:rPr>
          <w:i/>
          <w:color w:val="auto"/>
          <w:highlight w:val="yellow"/>
        </w:rPr>
        <w:t xml:space="preserve">sub-option on this one where </w:t>
      </w:r>
      <w:r w:rsidR="008034BB" w:rsidRPr="00057905">
        <w:rPr>
          <w:i/>
          <w:color w:val="auto"/>
          <w:highlight w:val="yellow"/>
        </w:rPr>
        <w:t>the BS is not moved now or in the near future i.e. could we get past lock with BS in current location?</w:t>
      </w:r>
      <w:r w:rsidRPr="00057905">
        <w:rPr>
          <w:i/>
          <w:color w:val="auto"/>
          <w:highlight w:val="yellow"/>
        </w:rPr>
        <w:t xml:space="preserve"> If so could the angular change be handled by </w:t>
      </w:r>
      <w:r w:rsidR="00E07C54" w:rsidRPr="00057905">
        <w:rPr>
          <w:i/>
          <w:color w:val="auto"/>
          <w:highlight w:val="yellow"/>
        </w:rPr>
        <w:t>HEPI?</w:t>
      </w:r>
    </w:p>
    <w:p w:rsidR="008B4CA7" w:rsidRDefault="008B4CA7" w:rsidP="008B4CA7">
      <w:pPr>
        <w:pStyle w:val="Default"/>
        <w:jc w:val="both"/>
        <w:rPr>
          <w:i/>
          <w:color w:val="000000" w:themeColor="text1"/>
          <w:highlight w:val="red"/>
        </w:rPr>
      </w:pPr>
    </w:p>
    <w:p w:rsidR="00096C3A" w:rsidRDefault="00096C3A" w:rsidP="008B4CA7">
      <w:pPr>
        <w:pStyle w:val="Default"/>
        <w:jc w:val="both"/>
        <w:rPr>
          <w:i/>
          <w:color w:val="000000" w:themeColor="text1"/>
          <w:highlight w:val="red"/>
        </w:rPr>
      </w:pPr>
    </w:p>
    <w:p w:rsidR="00096C3A" w:rsidRDefault="00096C3A" w:rsidP="008B4CA7">
      <w:pPr>
        <w:pStyle w:val="Default"/>
        <w:jc w:val="both"/>
        <w:rPr>
          <w:i/>
          <w:color w:val="000000" w:themeColor="text1"/>
          <w:highlight w:val="red"/>
        </w:rPr>
      </w:pPr>
    </w:p>
    <w:p w:rsidR="00096C3A" w:rsidRDefault="00096C3A" w:rsidP="008B4CA7">
      <w:pPr>
        <w:pStyle w:val="Default"/>
        <w:jc w:val="both"/>
        <w:rPr>
          <w:i/>
          <w:color w:val="000000" w:themeColor="text1"/>
          <w:highlight w:val="red"/>
        </w:rPr>
      </w:pPr>
    </w:p>
    <w:p w:rsidR="005D3056" w:rsidRDefault="000D580D" w:rsidP="001A1B91">
      <w:pPr>
        <w:pStyle w:val="Default"/>
        <w:numPr>
          <w:ilvl w:val="2"/>
          <w:numId w:val="16"/>
        </w:numPr>
        <w:jc w:val="both"/>
      </w:pPr>
      <w:r w:rsidRPr="005D3056">
        <w:rPr>
          <w:u w:val="single"/>
        </w:rPr>
        <w:t>Flip BS</w:t>
      </w:r>
    </w:p>
    <w:p w:rsidR="009373C7" w:rsidRDefault="009373C7" w:rsidP="005D3056">
      <w:pPr>
        <w:pStyle w:val="Default"/>
        <w:jc w:val="both"/>
      </w:pPr>
    </w:p>
    <w:p w:rsidR="005D3056" w:rsidRDefault="00AB0355" w:rsidP="00821FDF">
      <w:pPr>
        <w:pStyle w:val="Default"/>
        <w:jc w:val="both"/>
      </w:pPr>
      <w:r>
        <w:t>Another option involving continuing with the CP as a single version would involve f</w:t>
      </w:r>
      <w:r w:rsidR="000D580D">
        <w:t>lipping the BS (</w:t>
      </w:r>
      <w:r>
        <w:t>from horizontal one way to horizontal the other way</w:t>
      </w:r>
      <w:r w:rsidR="000D580D">
        <w:t>)</w:t>
      </w:r>
      <w:r w:rsidR="005D3056">
        <w:t xml:space="preserve">. </w:t>
      </w:r>
      <w:r w:rsidR="000D580D">
        <w:t>This would involve the following: -</w:t>
      </w:r>
    </w:p>
    <w:p w:rsidR="009373C7" w:rsidRDefault="009373C7" w:rsidP="005D3056">
      <w:pPr>
        <w:pStyle w:val="Default"/>
        <w:jc w:val="both"/>
      </w:pPr>
    </w:p>
    <w:p w:rsidR="005D3056" w:rsidRDefault="000D580D" w:rsidP="005D3056">
      <w:pPr>
        <w:pStyle w:val="Default"/>
        <w:numPr>
          <w:ilvl w:val="0"/>
          <w:numId w:val="12"/>
        </w:numPr>
        <w:jc w:val="both"/>
      </w:pPr>
      <w:r>
        <w:t>Addition of new secondary prisms to existing BS optics</w:t>
      </w:r>
    </w:p>
    <w:p w:rsidR="005D3056" w:rsidRDefault="000D580D" w:rsidP="005D3056">
      <w:pPr>
        <w:pStyle w:val="Default"/>
        <w:numPr>
          <w:ilvl w:val="0"/>
          <w:numId w:val="12"/>
        </w:numPr>
        <w:jc w:val="both"/>
      </w:pPr>
      <w:r>
        <w:t>Work in chamber with FMP tooling to remove / re-work then replace BS optic (this effort also involves removal of spool pieces)</w:t>
      </w:r>
    </w:p>
    <w:p w:rsidR="005D3056" w:rsidRDefault="000D580D" w:rsidP="005D3056">
      <w:pPr>
        <w:pStyle w:val="Default"/>
        <w:numPr>
          <w:ilvl w:val="0"/>
          <w:numId w:val="12"/>
        </w:numPr>
        <w:jc w:val="both"/>
      </w:pPr>
      <w:r>
        <w:t>Replace wires in suspension in chamber</w:t>
      </w:r>
    </w:p>
    <w:p w:rsidR="000D580D" w:rsidRDefault="000D580D" w:rsidP="005D3056">
      <w:pPr>
        <w:pStyle w:val="Default"/>
        <w:numPr>
          <w:ilvl w:val="0"/>
          <w:numId w:val="12"/>
        </w:numPr>
        <w:jc w:val="both"/>
      </w:pPr>
      <w:r>
        <w:t>Re-do of Hartmann layout in HAM4/5</w:t>
      </w:r>
    </w:p>
    <w:p w:rsidR="009373C7" w:rsidRDefault="009373C7" w:rsidP="00AB0355">
      <w:pPr>
        <w:pStyle w:val="Default"/>
        <w:jc w:val="both"/>
      </w:pPr>
    </w:p>
    <w:p w:rsidR="009373C7" w:rsidRDefault="000D580D" w:rsidP="00821FDF">
      <w:pPr>
        <w:pStyle w:val="Default"/>
        <w:jc w:val="both"/>
      </w:pPr>
      <w:r>
        <w:t xml:space="preserve">Both Mike Smith and Aidan Brooks have reported that the re-layout of the Hartmann would cause severe problems to the optical layout in both HAM4/5. </w:t>
      </w:r>
      <w:r w:rsidR="008034BB">
        <w:t>Mike stated in an e-mail on 10/24/2012 “</w:t>
      </w:r>
      <w:r w:rsidR="008034BB" w:rsidRPr="008034BB">
        <w:rPr>
          <w:i/>
        </w:rPr>
        <w:t>If the BS wedge is reversed (thick side in -X, -Y direction), the Hartmann X beam misses SR3 and cannot be collected at SR2</w:t>
      </w:r>
      <w:r w:rsidR="009373C7">
        <w:t>.”</w:t>
      </w:r>
      <w:r w:rsidR="008034BB">
        <w:t xml:space="preserve"> </w:t>
      </w:r>
    </w:p>
    <w:p w:rsidR="000D580D" w:rsidRPr="009373C7" w:rsidRDefault="000D580D" w:rsidP="00AB0355">
      <w:pPr>
        <w:pStyle w:val="Default"/>
        <w:jc w:val="both"/>
        <w:rPr>
          <w:u w:val="single"/>
        </w:rPr>
      </w:pPr>
      <w:r w:rsidRPr="009373C7">
        <w:rPr>
          <w:u w:val="single"/>
        </w:rPr>
        <w:t xml:space="preserve">This is therefore </w:t>
      </w:r>
      <w:r w:rsidR="009373C7" w:rsidRPr="009373C7">
        <w:rPr>
          <w:u w:val="single"/>
        </w:rPr>
        <w:t>r</w:t>
      </w:r>
      <w:r w:rsidR="008034BB" w:rsidRPr="009373C7">
        <w:rPr>
          <w:u w:val="single"/>
        </w:rPr>
        <w:t xml:space="preserve">eally not a valid option in </w:t>
      </w:r>
      <w:r w:rsidR="009373C7" w:rsidRPr="009373C7">
        <w:rPr>
          <w:u w:val="single"/>
        </w:rPr>
        <w:t>the opinion of the committee.</w:t>
      </w:r>
    </w:p>
    <w:p w:rsidR="009373C7" w:rsidRDefault="009373C7" w:rsidP="004D21A9">
      <w:pPr>
        <w:pStyle w:val="Default"/>
      </w:pPr>
    </w:p>
    <w:p w:rsidR="009373C7" w:rsidRPr="009373C7" w:rsidRDefault="009373C7" w:rsidP="009373C7">
      <w:pPr>
        <w:pStyle w:val="Default"/>
        <w:numPr>
          <w:ilvl w:val="2"/>
          <w:numId w:val="16"/>
        </w:numPr>
        <w:jc w:val="both"/>
        <w:rPr>
          <w:u w:val="single"/>
        </w:rPr>
      </w:pPr>
      <w:r w:rsidRPr="009373C7">
        <w:rPr>
          <w:u w:val="single"/>
        </w:rPr>
        <w:t xml:space="preserve">Flip </w:t>
      </w:r>
      <w:proofErr w:type="spellStart"/>
      <w:r w:rsidRPr="009373C7">
        <w:rPr>
          <w:u w:val="single"/>
        </w:rPr>
        <w:t>Cpx</w:t>
      </w:r>
      <w:proofErr w:type="spellEnd"/>
    </w:p>
    <w:p w:rsidR="009373C7" w:rsidRDefault="009373C7" w:rsidP="009373C7">
      <w:pPr>
        <w:pStyle w:val="Default"/>
        <w:ind w:left="792"/>
        <w:jc w:val="both"/>
        <w:rPr>
          <w:u w:val="single"/>
        </w:rPr>
      </w:pPr>
    </w:p>
    <w:p w:rsidR="009373C7" w:rsidRDefault="009373C7" w:rsidP="009373C7">
      <w:pPr>
        <w:pStyle w:val="Default"/>
        <w:jc w:val="both"/>
        <w:rPr>
          <w:u w:val="single"/>
        </w:rPr>
      </w:pPr>
      <w:r>
        <w:t xml:space="preserve">*New* Flip </w:t>
      </w:r>
      <w:proofErr w:type="spellStart"/>
      <w:r>
        <w:t>Cpx</w:t>
      </w:r>
      <w:proofErr w:type="spellEnd"/>
      <w:r>
        <w:t xml:space="preserve">. Mike Smith has been asked to look at this in </w:t>
      </w:r>
      <w:proofErr w:type="spellStart"/>
      <w:r>
        <w:t>Zemax</w:t>
      </w:r>
      <w:proofErr w:type="spellEnd"/>
      <w:r>
        <w:t xml:space="preserve"> 10/26/2012.</w:t>
      </w:r>
    </w:p>
    <w:p w:rsidR="009373C7" w:rsidRDefault="009373C7" w:rsidP="009373C7">
      <w:pPr>
        <w:pStyle w:val="Default"/>
        <w:ind w:left="792"/>
        <w:jc w:val="both"/>
      </w:pPr>
    </w:p>
    <w:p w:rsidR="009373C7" w:rsidRPr="009373C7" w:rsidRDefault="009373C7" w:rsidP="009373C7">
      <w:pPr>
        <w:pStyle w:val="Default"/>
        <w:ind w:left="792"/>
        <w:jc w:val="both"/>
      </w:pPr>
    </w:p>
    <w:p w:rsidR="009373C7" w:rsidRPr="009373C7" w:rsidRDefault="00BF6728" w:rsidP="009373C7">
      <w:pPr>
        <w:pStyle w:val="Default"/>
        <w:numPr>
          <w:ilvl w:val="2"/>
          <w:numId w:val="16"/>
        </w:numPr>
        <w:jc w:val="both"/>
        <w:rPr>
          <w:u w:val="single"/>
        </w:rPr>
      </w:pPr>
      <w:r>
        <w:rPr>
          <w:u w:val="single"/>
        </w:rPr>
        <w:t xml:space="preserve">Putting </w:t>
      </w:r>
      <w:proofErr w:type="spellStart"/>
      <w:r>
        <w:rPr>
          <w:u w:val="single"/>
        </w:rPr>
        <w:t>ITM</w:t>
      </w:r>
      <w:r w:rsidR="009373C7" w:rsidRPr="009373C7">
        <w:rPr>
          <w:u w:val="single"/>
        </w:rPr>
        <w:t>y</w:t>
      </w:r>
      <w:proofErr w:type="spellEnd"/>
      <w:r w:rsidR="009373C7" w:rsidRPr="009373C7">
        <w:rPr>
          <w:u w:val="single"/>
        </w:rPr>
        <w:t xml:space="preserve"> into </w:t>
      </w:r>
      <w:proofErr w:type="spellStart"/>
      <w:r w:rsidR="009373C7" w:rsidRPr="009373C7">
        <w:rPr>
          <w:u w:val="single"/>
        </w:rPr>
        <w:t>ITMx</w:t>
      </w:r>
      <w:proofErr w:type="spellEnd"/>
    </w:p>
    <w:p w:rsidR="00F127D2" w:rsidRDefault="00F127D2" w:rsidP="004D21A9">
      <w:pPr>
        <w:pStyle w:val="Default"/>
      </w:pPr>
    </w:p>
    <w:p w:rsidR="009373C7" w:rsidRDefault="009373C7" w:rsidP="009373C7">
      <w:pPr>
        <w:jc w:val="both"/>
        <w:rPr>
          <w:rFonts w:ascii="Arial" w:hAnsi="Arial" w:cs="Arial"/>
        </w:rPr>
      </w:pPr>
      <w:r w:rsidRPr="009373C7">
        <w:rPr>
          <w:rFonts w:ascii="Arial" w:hAnsi="Arial" w:cs="Arial"/>
        </w:rPr>
        <w:t xml:space="preserve">*New* </w:t>
      </w:r>
      <w:r w:rsidR="00BF6728">
        <w:rPr>
          <w:rFonts w:ascii="Arial" w:hAnsi="Arial" w:cs="Arial"/>
        </w:rPr>
        <w:t xml:space="preserve">Putting </w:t>
      </w:r>
      <w:proofErr w:type="spellStart"/>
      <w:r w:rsidR="00BF6728">
        <w:rPr>
          <w:rFonts w:ascii="Arial" w:hAnsi="Arial" w:cs="Arial"/>
        </w:rPr>
        <w:t>ITM</w:t>
      </w:r>
      <w:r w:rsidRPr="009373C7">
        <w:rPr>
          <w:rFonts w:ascii="Arial" w:hAnsi="Arial" w:cs="Arial"/>
        </w:rPr>
        <w:t>y</w:t>
      </w:r>
      <w:proofErr w:type="spellEnd"/>
      <w:r w:rsidRPr="009373C7">
        <w:rPr>
          <w:rFonts w:ascii="Arial" w:hAnsi="Arial" w:cs="Arial"/>
        </w:rPr>
        <w:t xml:space="preserve"> into </w:t>
      </w:r>
      <w:proofErr w:type="spellStart"/>
      <w:r w:rsidRPr="009373C7">
        <w:rPr>
          <w:rFonts w:ascii="Arial" w:hAnsi="Arial" w:cs="Arial"/>
        </w:rPr>
        <w:t>ITMx</w:t>
      </w:r>
      <w:proofErr w:type="spellEnd"/>
      <w:r>
        <w:rPr>
          <w:rFonts w:ascii="Arial" w:hAnsi="Arial" w:cs="Arial"/>
        </w:rPr>
        <w:t>. Calum has agreed to look at this from a layout point of view in terms of how much movement would be needed.</w:t>
      </w:r>
      <w:r w:rsidRPr="009373C7">
        <w:rPr>
          <w:rFonts w:ascii="Arial" w:hAnsi="Arial" w:cs="Arial"/>
        </w:rPr>
        <w:t xml:space="preserve"> </w:t>
      </w:r>
    </w:p>
    <w:p w:rsidR="009373C7" w:rsidRDefault="009373C7" w:rsidP="009373C7">
      <w:pPr>
        <w:jc w:val="both"/>
        <w:rPr>
          <w:rFonts w:ascii="Arial" w:hAnsi="Arial" w:cs="Arial"/>
        </w:rPr>
      </w:pPr>
    </w:p>
    <w:p w:rsidR="009373C7" w:rsidRDefault="009373C7" w:rsidP="009373C7">
      <w:pPr>
        <w:pStyle w:val="Default"/>
        <w:numPr>
          <w:ilvl w:val="0"/>
          <w:numId w:val="16"/>
        </w:numPr>
        <w:rPr>
          <w:rStyle w:val="Strong"/>
          <w:u w:val="single"/>
        </w:rPr>
      </w:pPr>
      <w:r>
        <w:rPr>
          <w:rStyle w:val="Strong"/>
          <w:u w:val="single"/>
        </w:rPr>
        <w:t>Recommendation</w:t>
      </w:r>
    </w:p>
    <w:p w:rsidR="009373C7" w:rsidRDefault="009373C7" w:rsidP="009373C7">
      <w:pPr>
        <w:pStyle w:val="Default"/>
      </w:pPr>
    </w:p>
    <w:p w:rsidR="009373C7" w:rsidRDefault="009373C7" w:rsidP="009373C7">
      <w:pPr>
        <w:pStyle w:val="Default"/>
      </w:pPr>
      <w:bookmarkStart w:id="0" w:name="_GoBack"/>
      <w:r w:rsidRPr="001A1B91">
        <w:t xml:space="preserve">We the TFB recommend to </w:t>
      </w:r>
      <w:proofErr w:type="spellStart"/>
      <w:r w:rsidRPr="001A1B91">
        <w:t>aLIGO</w:t>
      </w:r>
      <w:proofErr w:type="spellEnd"/>
      <w:r w:rsidR="00111576">
        <w:t xml:space="preserve"> management the following</w:t>
      </w:r>
      <w:r w:rsidRPr="001A1B91">
        <w:t>: -</w:t>
      </w:r>
    </w:p>
    <w:p w:rsidR="00111576" w:rsidRDefault="00111576" w:rsidP="00AA29DC">
      <w:pPr>
        <w:jc w:val="both"/>
        <w:rPr>
          <w:rFonts w:ascii="Arial" w:hAnsi="Arial" w:cs="Arial"/>
          <w:u w:val="single"/>
        </w:rPr>
      </w:pPr>
    </w:p>
    <w:p w:rsidR="00111576" w:rsidRPr="00111576" w:rsidRDefault="00111576" w:rsidP="00AA29DC">
      <w:pPr>
        <w:jc w:val="both"/>
        <w:rPr>
          <w:rFonts w:ascii="Arial" w:hAnsi="Arial" w:cs="Arial"/>
          <w:u w:val="single"/>
        </w:rPr>
      </w:pPr>
      <w:r w:rsidRPr="00111576">
        <w:rPr>
          <w:rFonts w:ascii="Arial" w:hAnsi="Arial" w:cs="Arial"/>
          <w:u w:val="single"/>
        </w:rPr>
        <w:t>For LLO: -</w:t>
      </w:r>
      <w:r w:rsidRPr="00111576">
        <w:rPr>
          <w:b/>
          <w:sz w:val="20"/>
          <w:szCs w:val="20"/>
        </w:rPr>
        <w:t xml:space="preserve"> </w:t>
      </w:r>
      <w:r w:rsidR="009570F5">
        <w:rPr>
          <w:rFonts w:ascii="Arial" w:hAnsi="Arial" w:cs="Arial"/>
        </w:rPr>
        <w:t xml:space="preserve">Due to the fact that the CP </w:t>
      </w:r>
      <w:proofErr w:type="spellStart"/>
      <w:r w:rsidR="009570F5">
        <w:rPr>
          <w:rFonts w:ascii="Arial" w:hAnsi="Arial" w:cs="Arial"/>
        </w:rPr>
        <w:t>ITMy</w:t>
      </w:r>
      <w:proofErr w:type="spellEnd"/>
      <w:r w:rsidR="009570F5">
        <w:rPr>
          <w:rFonts w:ascii="Arial" w:hAnsi="Arial" w:cs="Arial"/>
        </w:rPr>
        <w:t xml:space="preserve"> was already installed (Oct 2012) we will f</w:t>
      </w:r>
      <w:r w:rsidRPr="00111576">
        <w:rPr>
          <w:rFonts w:ascii="Arial" w:hAnsi="Arial" w:cs="Arial"/>
        </w:rPr>
        <w:t xml:space="preserve">lip CP </w:t>
      </w:r>
      <w:proofErr w:type="spellStart"/>
      <w:r w:rsidRPr="00111576">
        <w:rPr>
          <w:rFonts w:ascii="Arial" w:hAnsi="Arial" w:cs="Arial"/>
        </w:rPr>
        <w:t>ITMy</w:t>
      </w:r>
      <w:proofErr w:type="spellEnd"/>
      <w:r w:rsidRPr="00111576">
        <w:rPr>
          <w:rFonts w:ascii="Arial" w:hAnsi="Arial" w:cs="Arial"/>
        </w:rPr>
        <w:t xml:space="preserve"> </w:t>
      </w:r>
      <w:r w:rsidR="009570F5">
        <w:rPr>
          <w:rFonts w:ascii="Arial" w:hAnsi="Arial" w:cs="Arial"/>
        </w:rPr>
        <w:t>in-situ and cut ESD cabling this making the</w:t>
      </w:r>
      <w:r w:rsidRPr="00111576">
        <w:rPr>
          <w:rFonts w:ascii="Arial" w:hAnsi="Arial" w:cs="Arial"/>
        </w:rPr>
        <w:t xml:space="preserve"> ESD </w:t>
      </w:r>
      <w:r w:rsidR="009570F5">
        <w:rPr>
          <w:rFonts w:ascii="Arial" w:hAnsi="Arial" w:cs="Arial"/>
        </w:rPr>
        <w:t>un-available *</w:t>
      </w:r>
      <w:r>
        <w:rPr>
          <w:rFonts w:ascii="Arial" w:hAnsi="Arial" w:cs="Arial"/>
        </w:rPr>
        <w:t>.</w:t>
      </w:r>
      <w:r w:rsidR="009570F5">
        <w:rPr>
          <w:rFonts w:ascii="Arial" w:hAnsi="Arial" w:cs="Arial"/>
        </w:rPr>
        <w:t xml:space="preserve"> That we then leave LLO </w:t>
      </w:r>
      <w:proofErr w:type="spellStart"/>
      <w:r w:rsidR="009570F5">
        <w:rPr>
          <w:rFonts w:ascii="Arial" w:hAnsi="Arial" w:cs="Arial"/>
        </w:rPr>
        <w:t>ITMy</w:t>
      </w:r>
      <w:proofErr w:type="spellEnd"/>
      <w:r w:rsidR="009570F5">
        <w:rPr>
          <w:rFonts w:ascii="Arial" w:hAnsi="Arial" w:cs="Arial"/>
        </w:rPr>
        <w:t xml:space="preserve"> as</w:t>
      </w:r>
      <w:r>
        <w:rPr>
          <w:rFonts w:ascii="Arial" w:hAnsi="Arial" w:cs="Arial"/>
        </w:rPr>
        <w:t xml:space="preserve"> is without ESD available for duration of project. This can occur as it is not known if ESD is needed on the ITM’s. </w:t>
      </w:r>
      <w:r w:rsidR="009570F5">
        <w:rPr>
          <w:rFonts w:ascii="Arial" w:hAnsi="Arial" w:cs="Arial"/>
        </w:rPr>
        <w:t xml:space="preserve"> </w:t>
      </w:r>
    </w:p>
    <w:p w:rsidR="00111576" w:rsidRDefault="00111576" w:rsidP="00AA29DC">
      <w:pPr>
        <w:jc w:val="both"/>
        <w:rPr>
          <w:rFonts w:ascii="Arial" w:hAnsi="Arial" w:cs="Arial"/>
        </w:rPr>
      </w:pPr>
    </w:p>
    <w:p w:rsidR="008C3096" w:rsidRPr="00AA29DC" w:rsidRDefault="00111576" w:rsidP="00AA29DC">
      <w:pPr>
        <w:jc w:val="both"/>
        <w:rPr>
          <w:rFonts w:ascii="Arial" w:hAnsi="Arial" w:cs="Arial"/>
        </w:rPr>
      </w:pPr>
      <w:r w:rsidRPr="00111576">
        <w:rPr>
          <w:rFonts w:ascii="Arial" w:hAnsi="Arial" w:cs="Arial"/>
          <w:u w:val="single"/>
        </w:rPr>
        <w:t>For LHO and 3</w:t>
      </w:r>
      <w:r w:rsidRPr="00111576">
        <w:rPr>
          <w:rFonts w:ascii="Arial" w:hAnsi="Arial" w:cs="Arial"/>
          <w:u w:val="single"/>
          <w:vertAlign w:val="superscript"/>
        </w:rPr>
        <w:t>rd</w:t>
      </w:r>
      <w:r w:rsidRPr="00111576">
        <w:rPr>
          <w:rFonts w:ascii="Arial" w:hAnsi="Arial" w:cs="Arial"/>
          <w:u w:val="single"/>
        </w:rPr>
        <w:t xml:space="preserve"> IFO: -</w:t>
      </w:r>
      <w:r>
        <w:rPr>
          <w:rFonts w:ascii="Arial" w:hAnsi="Arial" w:cs="Arial"/>
        </w:rPr>
        <w:t xml:space="preserve"> </w:t>
      </w:r>
    </w:p>
    <w:p w:rsidR="008C3096" w:rsidRDefault="009570F5" w:rsidP="004D21A9">
      <w:pPr>
        <w:pStyle w:val="Default"/>
      </w:pPr>
      <w:r>
        <w:t xml:space="preserve">Due to the fact that the </w:t>
      </w:r>
      <w:r>
        <w:t xml:space="preserve">H1 </w:t>
      </w:r>
      <w:proofErr w:type="spellStart"/>
      <w:r>
        <w:t>ITMy</w:t>
      </w:r>
      <w:proofErr w:type="spellEnd"/>
      <w:r>
        <w:t xml:space="preserve"> is not installed and 3</w:t>
      </w:r>
      <w:r w:rsidRPr="009570F5">
        <w:rPr>
          <w:vertAlign w:val="superscript"/>
        </w:rPr>
        <w:t>rd</w:t>
      </w:r>
      <w:r>
        <w:t xml:space="preserve"> IFO </w:t>
      </w:r>
      <w:proofErr w:type="spellStart"/>
      <w:r>
        <w:t>ITMy</w:t>
      </w:r>
      <w:proofErr w:type="spellEnd"/>
      <w:r>
        <w:t xml:space="preserve"> is yet to be built</w:t>
      </w:r>
      <w:r>
        <w:t xml:space="preserve"> we will c</w:t>
      </w:r>
      <w:r w:rsidR="00111576" w:rsidRPr="00111576">
        <w:t xml:space="preserve">reate another version of the Compensation Plate (CP) with the wedge angle flipped 180 degrees, so that there is a left-handed and a right-handed version, and implement this new CP version in the </w:t>
      </w:r>
      <w:proofErr w:type="spellStart"/>
      <w:r w:rsidR="00111576" w:rsidRPr="00111576">
        <w:t>ITMy</w:t>
      </w:r>
      <w:proofErr w:type="spellEnd"/>
      <w:r w:rsidR="00111576" w:rsidRPr="00111576">
        <w:t xml:space="preserve"> quad suspensions for</w:t>
      </w:r>
      <w:r>
        <w:t xml:space="preserve"> LHO ** and 3</w:t>
      </w:r>
      <w:r w:rsidRPr="009570F5">
        <w:rPr>
          <w:vertAlign w:val="superscript"/>
        </w:rPr>
        <w:t>rd</w:t>
      </w:r>
      <w:r>
        <w:t xml:space="preserve"> IFO. Originally there wa</w:t>
      </w:r>
      <w:r w:rsidR="00111576" w:rsidRPr="00111576">
        <w:t>s one version of the CP.</w:t>
      </w:r>
      <w:r>
        <w:t xml:space="preserve">  </w:t>
      </w:r>
    </w:p>
    <w:bookmarkEnd w:id="0"/>
    <w:p w:rsidR="009570F5" w:rsidRDefault="009570F5" w:rsidP="004D21A9">
      <w:pPr>
        <w:pStyle w:val="Default"/>
      </w:pPr>
    </w:p>
    <w:p w:rsidR="009570F5" w:rsidRPr="009570F5" w:rsidRDefault="009570F5" w:rsidP="009570F5">
      <w:pPr>
        <w:pStyle w:val="Default"/>
        <w:rPr>
          <w:i/>
          <w:sz w:val="18"/>
          <w:szCs w:val="18"/>
        </w:rPr>
      </w:pPr>
      <w:r w:rsidRPr="009570F5">
        <w:rPr>
          <w:i/>
          <w:sz w:val="18"/>
          <w:szCs w:val="18"/>
        </w:rPr>
        <w:t>*</w:t>
      </w:r>
      <w:r w:rsidRPr="009570F5">
        <w:rPr>
          <w:i/>
          <w:sz w:val="18"/>
          <w:szCs w:val="18"/>
        </w:rPr>
        <w:t>The author notes that this flip is now complete at LLO.</w:t>
      </w:r>
    </w:p>
    <w:p w:rsidR="009570F5" w:rsidRPr="009570F5" w:rsidRDefault="009570F5" w:rsidP="009570F5">
      <w:pPr>
        <w:pStyle w:val="Default"/>
        <w:rPr>
          <w:sz w:val="18"/>
          <w:szCs w:val="18"/>
        </w:rPr>
        <w:sectPr w:rsidR="009570F5" w:rsidRPr="009570F5" w:rsidSect="008C3096">
          <w:headerReference w:type="even" r:id="rId16"/>
          <w:headerReference w:type="default" r:id="rId17"/>
          <w:footerReference w:type="default" r:id="rId18"/>
          <w:headerReference w:type="first" r:id="rId19"/>
          <w:footerReference w:type="first" r:id="rId20"/>
          <w:footnotePr>
            <w:numFmt w:val="chicago"/>
          </w:footnotePr>
          <w:pgSz w:w="12240" w:h="15840" w:code="1"/>
          <w:pgMar w:top="1440" w:right="1440" w:bottom="1440" w:left="1440" w:header="720" w:footer="720" w:gutter="0"/>
          <w:cols w:space="720"/>
          <w:titlePg/>
          <w:docGrid w:linePitch="360"/>
        </w:sectPr>
      </w:pPr>
      <w:r w:rsidRPr="009570F5">
        <w:rPr>
          <w:i/>
          <w:sz w:val="18"/>
          <w:szCs w:val="18"/>
        </w:rPr>
        <w:t>**The author notes that this is now in the plan for the upcoming switch-out at LHO (June 2014).</w:t>
      </w:r>
    </w:p>
    <w:p w:rsidR="000D580D" w:rsidRDefault="001A1B91" w:rsidP="009373C7">
      <w:pPr>
        <w:pStyle w:val="Default"/>
        <w:numPr>
          <w:ilvl w:val="0"/>
          <w:numId w:val="16"/>
        </w:numPr>
        <w:rPr>
          <w:rStyle w:val="Strong"/>
          <w:u w:val="single"/>
        </w:rPr>
      </w:pPr>
      <w:r w:rsidRPr="001A1B91">
        <w:rPr>
          <w:rStyle w:val="Strong"/>
          <w:u w:val="single"/>
        </w:rPr>
        <w:lastRenderedPageBreak/>
        <w:t>Summary of options</w:t>
      </w:r>
    </w:p>
    <w:tbl>
      <w:tblPr>
        <w:tblStyle w:val="TableGrid"/>
        <w:tblW w:w="0" w:type="auto"/>
        <w:tblLayout w:type="fixed"/>
        <w:tblLook w:val="04A0" w:firstRow="1" w:lastRow="0" w:firstColumn="1" w:lastColumn="0" w:noHBand="0" w:noVBand="1"/>
      </w:tblPr>
      <w:tblGrid>
        <w:gridCol w:w="558"/>
        <w:gridCol w:w="1724"/>
        <w:gridCol w:w="1516"/>
        <w:gridCol w:w="1800"/>
        <w:gridCol w:w="1350"/>
        <w:gridCol w:w="2070"/>
        <w:gridCol w:w="1980"/>
        <w:gridCol w:w="1620"/>
        <w:gridCol w:w="558"/>
      </w:tblGrid>
      <w:tr w:rsidR="00DB0D0C" w:rsidTr="00DB0D0C">
        <w:trPr>
          <w:cantSplit/>
          <w:trHeight w:val="701"/>
        </w:trPr>
        <w:tc>
          <w:tcPr>
            <w:tcW w:w="558" w:type="dxa"/>
          </w:tcPr>
          <w:p w:rsidR="009373C7" w:rsidRPr="00DB0D0C" w:rsidRDefault="009373C7" w:rsidP="004D21A9">
            <w:pPr>
              <w:pStyle w:val="Default"/>
              <w:rPr>
                <w:sz w:val="20"/>
                <w:szCs w:val="20"/>
              </w:rPr>
            </w:pPr>
            <w:r w:rsidRPr="00DB0D0C">
              <w:rPr>
                <w:sz w:val="20"/>
                <w:szCs w:val="20"/>
              </w:rPr>
              <w:t>#</w:t>
            </w:r>
          </w:p>
        </w:tc>
        <w:tc>
          <w:tcPr>
            <w:tcW w:w="1724" w:type="dxa"/>
          </w:tcPr>
          <w:p w:rsidR="009373C7" w:rsidRPr="00DB0D0C" w:rsidRDefault="009373C7" w:rsidP="004D21A9">
            <w:pPr>
              <w:pStyle w:val="Default"/>
              <w:rPr>
                <w:sz w:val="20"/>
                <w:szCs w:val="20"/>
              </w:rPr>
            </w:pPr>
            <w:r w:rsidRPr="00DB0D0C">
              <w:rPr>
                <w:sz w:val="20"/>
                <w:szCs w:val="20"/>
              </w:rPr>
              <w:t>Title</w:t>
            </w:r>
          </w:p>
        </w:tc>
        <w:tc>
          <w:tcPr>
            <w:tcW w:w="1516" w:type="dxa"/>
          </w:tcPr>
          <w:p w:rsidR="009373C7" w:rsidRPr="00DB0D0C" w:rsidRDefault="009373C7" w:rsidP="004D21A9">
            <w:pPr>
              <w:pStyle w:val="Default"/>
              <w:rPr>
                <w:sz w:val="20"/>
                <w:szCs w:val="20"/>
              </w:rPr>
            </w:pPr>
            <w:r w:rsidRPr="00DB0D0C">
              <w:rPr>
                <w:sz w:val="20"/>
                <w:szCs w:val="20"/>
              </w:rPr>
              <w:t>Notes</w:t>
            </w:r>
          </w:p>
        </w:tc>
        <w:tc>
          <w:tcPr>
            <w:tcW w:w="1800" w:type="dxa"/>
          </w:tcPr>
          <w:p w:rsidR="009373C7" w:rsidRPr="00DB0D0C" w:rsidRDefault="009373C7" w:rsidP="004D21A9">
            <w:pPr>
              <w:pStyle w:val="Default"/>
              <w:rPr>
                <w:sz w:val="20"/>
                <w:szCs w:val="20"/>
              </w:rPr>
            </w:pPr>
            <w:r w:rsidRPr="00DB0D0C">
              <w:rPr>
                <w:sz w:val="20"/>
                <w:szCs w:val="20"/>
              </w:rPr>
              <w:t xml:space="preserve">Work </w:t>
            </w:r>
          </w:p>
          <w:p w:rsidR="009373C7" w:rsidRPr="00DB0D0C" w:rsidRDefault="009373C7" w:rsidP="004D21A9">
            <w:pPr>
              <w:pStyle w:val="Default"/>
              <w:rPr>
                <w:sz w:val="20"/>
                <w:szCs w:val="20"/>
              </w:rPr>
            </w:pPr>
            <w:r w:rsidRPr="00DB0D0C">
              <w:rPr>
                <w:sz w:val="20"/>
                <w:szCs w:val="20"/>
              </w:rPr>
              <w:t>(Our Staff time *)</w:t>
            </w:r>
          </w:p>
        </w:tc>
        <w:tc>
          <w:tcPr>
            <w:tcW w:w="1350" w:type="dxa"/>
          </w:tcPr>
          <w:p w:rsidR="009373C7" w:rsidRPr="00DB0D0C" w:rsidRDefault="009373C7" w:rsidP="004D21A9">
            <w:pPr>
              <w:pStyle w:val="Default"/>
              <w:rPr>
                <w:sz w:val="20"/>
                <w:szCs w:val="20"/>
              </w:rPr>
            </w:pPr>
            <w:r w:rsidRPr="00DB0D0C">
              <w:rPr>
                <w:sz w:val="20"/>
                <w:szCs w:val="20"/>
              </w:rPr>
              <w:t>Vendor Cost</w:t>
            </w:r>
            <w:r w:rsidR="00B36808" w:rsidRPr="00DB0D0C">
              <w:rPr>
                <w:sz w:val="20"/>
                <w:szCs w:val="20"/>
              </w:rPr>
              <w:t xml:space="preserve"> / Time</w:t>
            </w:r>
          </w:p>
        </w:tc>
        <w:tc>
          <w:tcPr>
            <w:tcW w:w="2070" w:type="dxa"/>
          </w:tcPr>
          <w:p w:rsidR="009373C7" w:rsidRPr="00DB0D0C" w:rsidRDefault="009373C7" w:rsidP="004D21A9">
            <w:pPr>
              <w:pStyle w:val="Default"/>
              <w:rPr>
                <w:sz w:val="20"/>
                <w:szCs w:val="20"/>
              </w:rPr>
            </w:pPr>
            <w:r w:rsidRPr="00DB0D0C">
              <w:rPr>
                <w:sz w:val="20"/>
                <w:szCs w:val="20"/>
              </w:rPr>
              <w:t>Schedule Disruption</w:t>
            </w:r>
            <w:r w:rsidR="00096C3A" w:rsidRPr="00DB0D0C">
              <w:rPr>
                <w:sz w:val="20"/>
                <w:szCs w:val="20"/>
              </w:rPr>
              <w:t xml:space="preserve"> (each site)</w:t>
            </w:r>
          </w:p>
        </w:tc>
        <w:tc>
          <w:tcPr>
            <w:tcW w:w="1980" w:type="dxa"/>
          </w:tcPr>
          <w:p w:rsidR="009373C7" w:rsidRPr="00DB0D0C" w:rsidRDefault="009373C7" w:rsidP="004D21A9">
            <w:pPr>
              <w:pStyle w:val="Default"/>
              <w:rPr>
                <w:sz w:val="20"/>
                <w:szCs w:val="20"/>
              </w:rPr>
            </w:pPr>
            <w:r w:rsidRPr="00DB0D0C">
              <w:rPr>
                <w:sz w:val="20"/>
                <w:szCs w:val="20"/>
              </w:rPr>
              <w:t>Risk</w:t>
            </w:r>
          </w:p>
        </w:tc>
        <w:tc>
          <w:tcPr>
            <w:tcW w:w="1620" w:type="dxa"/>
          </w:tcPr>
          <w:p w:rsidR="009373C7" w:rsidRPr="00DB0D0C" w:rsidRDefault="00DB0D0C" w:rsidP="004D21A9">
            <w:pPr>
              <w:pStyle w:val="Default"/>
              <w:rPr>
                <w:sz w:val="20"/>
                <w:szCs w:val="20"/>
              </w:rPr>
            </w:pPr>
            <w:r w:rsidRPr="00DB0D0C">
              <w:rPr>
                <w:sz w:val="20"/>
                <w:szCs w:val="20"/>
              </w:rPr>
              <w:t>Additional Notes</w:t>
            </w:r>
          </w:p>
        </w:tc>
        <w:tc>
          <w:tcPr>
            <w:tcW w:w="558" w:type="dxa"/>
            <w:textDirection w:val="tbRl"/>
          </w:tcPr>
          <w:p w:rsidR="009373C7" w:rsidRPr="00DB0D0C" w:rsidRDefault="009373C7" w:rsidP="00D53A0F">
            <w:pPr>
              <w:pStyle w:val="Default"/>
              <w:ind w:left="113" w:right="113"/>
              <w:rPr>
                <w:sz w:val="20"/>
                <w:szCs w:val="20"/>
              </w:rPr>
            </w:pPr>
            <w:r w:rsidRPr="00DB0D0C">
              <w:rPr>
                <w:sz w:val="20"/>
                <w:szCs w:val="20"/>
              </w:rPr>
              <w:t>Rank</w:t>
            </w:r>
          </w:p>
        </w:tc>
      </w:tr>
      <w:tr w:rsidR="00DB0D0C" w:rsidTr="00DB0D0C">
        <w:tc>
          <w:tcPr>
            <w:tcW w:w="558" w:type="dxa"/>
          </w:tcPr>
          <w:p w:rsidR="009373C7" w:rsidRPr="00DB0D0C" w:rsidRDefault="009373C7" w:rsidP="004D21A9">
            <w:pPr>
              <w:pStyle w:val="Default"/>
              <w:rPr>
                <w:sz w:val="20"/>
                <w:szCs w:val="20"/>
              </w:rPr>
            </w:pPr>
            <w:r w:rsidRPr="00DB0D0C">
              <w:rPr>
                <w:sz w:val="20"/>
                <w:szCs w:val="20"/>
              </w:rPr>
              <w:t>1</w:t>
            </w:r>
          </w:p>
        </w:tc>
        <w:tc>
          <w:tcPr>
            <w:tcW w:w="1724" w:type="dxa"/>
          </w:tcPr>
          <w:p w:rsidR="009373C7" w:rsidRPr="00DB0D0C" w:rsidRDefault="009373C7" w:rsidP="004D21A9">
            <w:pPr>
              <w:pStyle w:val="Default"/>
              <w:rPr>
                <w:b/>
                <w:sz w:val="20"/>
                <w:szCs w:val="20"/>
              </w:rPr>
            </w:pPr>
            <w:r w:rsidRPr="00DB0D0C">
              <w:rPr>
                <w:b/>
                <w:sz w:val="20"/>
                <w:szCs w:val="20"/>
              </w:rPr>
              <w:t>Handle Green Beams</w:t>
            </w:r>
          </w:p>
        </w:tc>
        <w:tc>
          <w:tcPr>
            <w:tcW w:w="1516" w:type="dxa"/>
          </w:tcPr>
          <w:p w:rsidR="009373C7" w:rsidRPr="00DB0D0C" w:rsidRDefault="009373C7" w:rsidP="004D21A9">
            <w:pPr>
              <w:pStyle w:val="Default"/>
              <w:rPr>
                <w:sz w:val="20"/>
                <w:szCs w:val="20"/>
              </w:rPr>
            </w:pPr>
            <w:r w:rsidRPr="00DB0D0C">
              <w:rPr>
                <w:sz w:val="20"/>
                <w:szCs w:val="20"/>
              </w:rPr>
              <w:t>See section 2.2.1</w:t>
            </w:r>
          </w:p>
        </w:tc>
        <w:tc>
          <w:tcPr>
            <w:tcW w:w="1800" w:type="dxa"/>
          </w:tcPr>
          <w:p w:rsidR="00B36808" w:rsidRDefault="00821FDF" w:rsidP="00096C3A">
            <w:pPr>
              <w:pStyle w:val="Default"/>
              <w:rPr>
                <w:sz w:val="20"/>
                <w:szCs w:val="20"/>
              </w:rPr>
            </w:pPr>
            <w:r>
              <w:rPr>
                <w:sz w:val="20"/>
                <w:szCs w:val="20"/>
              </w:rPr>
              <w:t xml:space="preserve">20-30 days on layout </w:t>
            </w:r>
          </w:p>
          <w:p w:rsidR="009373C7" w:rsidRPr="00220BAE" w:rsidRDefault="00096C3A" w:rsidP="00766E7A">
            <w:pPr>
              <w:pStyle w:val="Default"/>
              <w:rPr>
                <w:sz w:val="20"/>
                <w:szCs w:val="20"/>
              </w:rPr>
            </w:pPr>
            <w:proofErr w:type="gramStart"/>
            <w:r w:rsidRPr="00766E7A">
              <w:rPr>
                <w:sz w:val="20"/>
                <w:szCs w:val="20"/>
              </w:rPr>
              <w:t>plus</w:t>
            </w:r>
            <w:proofErr w:type="gramEnd"/>
            <w:r w:rsidRPr="00766E7A">
              <w:rPr>
                <w:sz w:val="20"/>
                <w:szCs w:val="20"/>
              </w:rPr>
              <w:t xml:space="preserve"> </w:t>
            </w:r>
            <w:r w:rsidR="00821FDF" w:rsidRPr="00766E7A">
              <w:rPr>
                <w:sz w:val="20"/>
                <w:szCs w:val="20"/>
              </w:rPr>
              <w:t>effort on ISC side</w:t>
            </w:r>
            <w:r w:rsidR="00766E7A" w:rsidRPr="00766E7A">
              <w:rPr>
                <w:sz w:val="20"/>
                <w:szCs w:val="20"/>
              </w:rPr>
              <w:t xml:space="preserve"> </w:t>
            </w:r>
            <w:r w:rsidR="00766E7A">
              <w:rPr>
                <w:sz w:val="20"/>
                <w:szCs w:val="20"/>
                <w:highlight w:val="green"/>
              </w:rPr>
              <w:t>days</w:t>
            </w:r>
            <w:r w:rsidR="00821FDF" w:rsidRPr="00096C3A">
              <w:rPr>
                <w:sz w:val="20"/>
                <w:szCs w:val="20"/>
                <w:highlight w:val="green"/>
              </w:rPr>
              <w:t>?</w:t>
            </w:r>
          </w:p>
        </w:tc>
        <w:tc>
          <w:tcPr>
            <w:tcW w:w="1350" w:type="dxa"/>
          </w:tcPr>
          <w:p w:rsidR="00B36808" w:rsidRDefault="00B36808" w:rsidP="004D21A9">
            <w:pPr>
              <w:pStyle w:val="Default"/>
              <w:rPr>
                <w:sz w:val="20"/>
                <w:szCs w:val="20"/>
              </w:rPr>
            </w:pPr>
            <w:r>
              <w:rPr>
                <w:sz w:val="20"/>
                <w:szCs w:val="20"/>
              </w:rPr>
              <w:t>10 days for new dog clamps</w:t>
            </w:r>
          </w:p>
          <w:p w:rsidR="009373C7" w:rsidRPr="00220BAE" w:rsidRDefault="00220BAE" w:rsidP="00766E7A">
            <w:pPr>
              <w:pStyle w:val="Default"/>
              <w:rPr>
                <w:sz w:val="20"/>
                <w:szCs w:val="20"/>
              </w:rPr>
            </w:pPr>
            <w:r w:rsidRPr="00220BAE">
              <w:rPr>
                <w:sz w:val="20"/>
                <w:szCs w:val="20"/>
              </w:rPr>
              <w:t xml:space="preserve">New </w:t>
            </w:r>
            <w:r w:rsidR="00766E7A">
              <w:rPr>
                <w:sz w:val="20"/>
                <w:szCs w:val="20"/>
              </w:rPr>
              <w:t xml:space="preserve">ISC Optic </w:t>
            </w:r>
            <w:r w:rsidR="00766E7A" w:rsidRPr="00766E7A">
              <w:rPr>
                <w:sz w:val="20"/>
                <w:szCs w:val="20"/>
                <w:highlight w:val="green"/>
              </w:rPr>
              <w:t>days?</w:t>
            </w:r>
          </w:p>
        </w:tc>
        <w:tc>
          <w:tcPr>
            <w:tcW w:w="2070" w:type="dxa"/>
          </w:tcPr>
          <w:p w:rsidR="009373C7" w:rsidRPr="00220BAE" w:rsidRDefault="00821FDF" w:rsidP="004D21A9">
            <w:pPr>
              <w:pStyle w:val="Default"/>
              <w:rPr>
                <w:sz w:val="20"/>
                <w:szCs w:val="20"/>
              </w:rPr>
            </w:pPr>
            <w:r>
              <w:rPr>
                <w:sz w:val="20"/>
                <w:szCs w:val="20"/>
              </w:rPr>
              <w:t>Continue with install but need to stop and fix at later date 10 days</w:t>
            </w:r>
            <w:r w:rsidR="00096C3A">
              <w:rPr>
                <w:sz w:val="20"/>
                <w:szCs w:val="20"/>
              </w:rPr>
              <w:t xml:space="preserve"> </w:t>
            </w:r>
            <w:r w:rsidR="00D53A0F">
              <w:rPr>
                <w:sz w:val="20"/>
                <w:szCs w:val="20"/>
              </w:rPr>
              <w:t>per site</w:t>
            </w:r>
          </w:p>
        </w:tc>
        <w:tc>
          <w:tcPr>
            <w:tcW w:w="1980" w:type="dxa"/>
          </w:tcPr>
          <w:p w:rsidR="009373C7" w:rsidRPr="00220BAE" w:rsidRDefault="00B36808" w:rsidP="004D21A9">
            <w:pPr>
              <w:pStyle w:val="Default"/>
              <w:rPr>
                <w:sz w:val="20"/>
                <w:szCs w:val="20"/>
              </w:rPr>
            </w:pPr>
            <w:r>
              <w:rPr>
                <w:sz w:val="20"/>
                <w:szCs w:val="20"/>
              </w:rPr>
              <w:t>Lot of layout work required.</w:t>
            </w:r>
          </w:p>
        </w:tc>
        <w:tc>
          <w:tcPr>
            <w:tcW w:w="1620" w:type="dxa"/>
          </w:tcPr>
          <w:p w:rsidR="009373C7" w:rsidRPr="00220BAE" w:rsidRDefault="009373C7" w:rsidP="004D21A9">
            <w:pPr>
              <w:pStyle w:val="Default"/>
              <w:rPr>
                <w:sz w:val="20"/>
                <w:szCs w:val="20"/>
              </w:rPr>
            </w:pPr>
          </w:p>
        </w:tc>
        <w:tc>
          <w:tcPr>
            <w:tcW w:w="558" w:type="dxa"/>
          </w:tcPr>
          <w:p w:rsidR="009373C7" w:rsidRPr="00220BAE" w:rsidRDefault="009373C7" w:rsidP="004D21A9">
            <w:pPr>
              <w:pStyle w:val="Default"/>
              <w:rPr>
                <w:sz w:val="20"/>
                <w:szCs w:val="20"/>
              </w:rPr>
            </w:pPr>
          </w:p>
        </w:tc>
      </w:tr>
      <w:tr w:rsidR="00DB0D0C" w:rsidTr="00DB0D0C">
        <w:tc>
          <w:tcPr>
            <w:tcW w:w="558" w:type="dxa"/>
          </w:tcPr>
          <w:p w:rsidR="009373C7" w:rsidRPr="00DB0D0C" w:rsidRDefault="009373C7" w:rsidP="004D21A9">
            <w:pPr>
              <w:pStyle w:val="Default"/>
              <w:rPr>
                <w:sz w:val="20"/>
                <w:szCs w:val="20"/>
              </w:rPr>
            </w:pPr>
            <w:r w:rsidRPr="00DB0D0C">
              <w:rPr>
                <w:sz w:val="20"/>
                <w:szCs w:val="20"/>
              </w:rPr>
              <w:t>2</w:t>
            </w:r>
          </w:p>
        </w:tc>
        <w:tc>
          <w:tcPr>
            <w:tcW w:w="1724" w:type="dxa"/>
          </w:tcPr>
          <w:p w:rsidR="009373C7" w:rsidRPr="00DB0D0C" w:rsidRDefault="009373C7" w:rsidP="004D21A9">
            <w:pPr>
              <w:pStyle w:val="Default"/>
              <w:rPr>
                <w:b/>
                <w:sz w:val="20"/>
                <w:szCs w:val="20"/>
              </w:rPr>
            </w:pPr>
            <w:r w:rsidRPr="00DB0D0C">
              <w:rPr>
                <w:b/>
                <w:sz w:val="20"/>
                <w:szCs w:val="20"/>
              </w:rPr>
              <w:t xml:space="preserve">Rework a </w:t>
            </w:r>
            <w:proofErr w:type="spellStart"/>
            <w:r w:rsidRPr="00DB0D0C">
              <w:rPr>
                <w:b/>
                <w:sz w:val="20"/>
                <w:szCs w:val="20"/>
              </w:rPr>
              <w:t>CPx</w:t>
            </w:r>
            <w:proofErr w:type="spellEnd"/>
            <w:r w:rsidRPr="00DB0D0C">
              <w:rPr>
                <w:b/>
                <w:sz w:val="20"/>
                <w:szCs w:val="20"/>
              </w:rPr>
              <w:t xml:space="preserve"> optic in an </w:t>
            </w:r>
            <w:proofErr w:type="spellStart"/>
            <w:r w:rsidRPr="00DB0D0C">
              <w:rPr>
                <w:b/>
                <w:sz w:val="20"/>
                <w:szCs w:val="20"/>
              </w:rPr>
              <w:t>ITMy</w:t>
            </w:r>
            <w:proofErr w:type="spellEnd"/>
            <w:r w:rsidRPr="00DB0D0C">
              <w:rPr>
                <w:b/>
                <w:sz w:val="20"/>
                <w:szCs w:val="20"/>
              </w:rPr>
              <w:t xml:space="preserve"> suspension</w:t>
            </w:r>
          </w:p>
        </w:tc>
        <w:tc>
          <w:tcPr>
            <w:tcW w:w="1516" w:type="dxa"/>
          </w:tcPr>
          <w:p w:rsidR="009373C7" w:rsidRPr="00DB0D0C" w:rsidRDefault="009373C7" w:rsidP="004D21A9">
            <w:pPr>
              <w:pStyle w:val="Default"/>
              <w:rPr>
                <w:sz w:val="20"/>
                <w:szCs w:val="20"/>
              </w:rPr>
            </w:pPr>
            <w:r w:rsidRPr="00DB0D0C">
              <w:rPr>
                <w:sz w:val="20"/>
                <w:szCs w:val="20"/>
              </w:rPr>
              <w:t>See section 2.2.2</w:t>
            </w:r>
          </w:p>
        </w:tc>
        <w:tc>
          <w:tcPr>
            <w:tcW w:w="1800" w:type="dxa"/>
          </w:tcPr>
          <w:p w:rsidR="009373C7" w:rsidRPr="00220BAE" w:rsidRDefault="00220BAE" w:rsidP="00096C3A">
            <w:pPr>
              <w:pStyle w:val="Default"/>
              <w:rPr>
                <w:sz w:val="20"/>
                <w:szCs w:val="20"/>
              </w:rPr>
            </w:pPr>
            <w:r>
              <w:rPr>
                <w:sz w:val="20"/>
                <w:szCs w:val="20"/>
              </w:rPr>
              <w:t>20 days</w:t>
            </w:r>
            <w:r w:rsidR="00096C3A">
              <w:rPr>
                <w:sz w:val="20"/>
                <w:szCs w:val="20"/>
              </w:rPr>
              <w:t xml:space="preserve"> total</w:t>
            </w:r>
          </w:p>
        </w:tc>
        <w:tc>
          <w:tcPr>
            <w:tcW w:w="1350" w:type="dxa"/>
          </w:tcPr>
          <w:p w:rsidR="009373C7" w:rsidRPr="00220BAE" w:rsidRDefault="00220BAE" w:rsidP="004D21A9">
            <w:pPr>
              <w:pStyle w:val="Default"/>
              <w:rPr>
                <w:sz w:val="20"/>
                <w:szCs w:val="20"/>
              </w:rPr>
            </w:pPr>
            <w:r>
              <w:rPr>
                <w:sz w:val="20"/>
                <w:szCs w:val="20"/>
              </w:rPr>
              <w:t>20 days</w:t>
            </w:r>
          </w:p>
        </w:tc>
        <w:tc>
          <w:tcPr>
            <w:tcW w:w="2070" w:type="dxa"/>
          </w:tcPr>
          <w:p w:rsidR="009373C7" w:rsidRPr="00220BAE" w:rsidRDefault="00821FDF" w:rsidP="00D53A0F">
            <w:pPr>
              <w:pStyle w:val="Default"/>
              <w:rPr>
                <w:sz w:val="20"/>
                <w:szCs w:val="20"/>
              </w:rPr>
            </w:pPr>
            <w:r>
              <w:rPr>
                <w:sz w:val="20"/>
                <w:szCs w:val="20"/>
              </w:rPr>
              <w:t xml:space="preserve">Continue with install but need to stop and fix at later date </w:t>
            </w:r>
            <w:r w:rsidR="00D53A0F">
              <w:rPr>
                <w:sz w:val="20"/>
                <w:szCs w:val="20"/>
              </w:rPr>
              <w:t>10</w:t>
            </w:r>
            <w:r>
              <w:rPr>
                <w:sz w:val="20"/>
                <w:szCs w:val="20"/>
              </w:rPr>
              <w:t xml:space="preserve"> days</w:t>
            </w:r>
            <w:r w:rsidR="00D53A0F">
              <w:rPr>
                <w:sz w:val="20"/>
                <w:szCs w:val="20"/>
              </w:rPr>
              <w:t xml:space="preserve"> per site</w:t>
            </w:r>
          </w:p>
        </w:tc>
        <w:tc>
          <w:tcPr>
            <w:tcW w:w="1980" w:type="dxa"/>
          </w:tcPr>
          <w:p w:rsidR="009373C7" w:rsidRPr="00220BAE" w:rsidRDefault="009373C7" w:rsidP="004D21A9">
            <w:pPr>
              <w:pStyle w:val="Default"/>
              <w:rPr>
                <w:sz w:val="20"/>
                <w:szCs w:val="20"/>
              </w:rPr>
            </w:pPr>
          </w:p>
        </w:tc>
        <w:tc>
          <w:tcPr>
            <w:tcW w:w="1620" w:type="dxa"/>
          </w:tcPr>
          <w:p w:rsidR="009373C7" w:rsidRPr="00220BAE" w:rsidRDefault="009373C7" w:rsidP="004D21A9">
            <w:pPr>
              <w:pStyle w:val="Default"/>
              <w:rPr>
                <w:sz w:val="20"/>
                <w:szCs w:val="20"/>
              </w:rPr>
            </w:pPr>
          </w:p>
        </w:tc>
        <w:tc>
          <w:tcPr>
            <w:tcW w:w="558" w:type="dxa"/>
          </w:tcPr>
          <w:p w:rsidR="009373C7" w:rsidRPr="00220BAE" w:rsidRDefault="009373C7" w:rsidP="004D21A9">
            <w:pPr>
              <w:pStyle w:val="Default"/>
              <w:rPr>
                <w:sz w:val="20"/>
                <w:szCs w:val="20"/>
              </w:rPr>
            </w:pPr>
          </w:p>
        </w:tc>
      </w:tr>
      <w:tr w:rsidR="00DB0D0C" w:rsidTr="00DB0D0C">
        <w:tc>
          <w:tcPr>
            <w:tcW w:w="558" w:type="dxa"/>
          </w:tcPr>
          <w:p w:rsidR="009373C7" w:rsidRPr="00DB0D0C" w:rsidRDefault="009373C7" w:rsidP="004D21A9">
            <w:pPr>
              <w:pStyle w:val="Default"/>
              <w:rPr>
                <w:sz w:val="20"/>
                <w:szCs w:val="20"/>
              </w:rPr>
            </w:pPr>
            <w:r w:rsidRPr="00DB0D0C">
              <w:rPr>
                <w:sz w:val="20"/>
                <w:szCs w:val="20"/>
              </w:rPr>
              <w:t>3</w:t>
            </w:r>
          </w:p>
        </w:tc>
        <w:tc>
          <w:tcPr>
            <w:tcW w:w="1724" w:type="dxa"/>
          </w:tcPr>
          <w:p w:rsidR="009373C7" w:rsidRPr="00DB0D0C" w:rsidRDefault="009373C7" w:rsidP="004D21A9">
            <w:pPr>
              <w:pStyle w:val="Default"/>
              <w:rPr>
                <w:b/>
                <w:sz w:val="20"/>
                <w:szCs w:val="20"/>
              </w:rPr>
            </w:pPr>
            <w:r w:rsidRPr="00DB0D0C">
              <w:rPr>
                <w:b/>
                <w:sz w:val="20"/>
                <w:szCs w:val="20"/>
              </w:rPr>
              <w:t xml:space="preserve">Make new </w:t>
            </w:r>
            <w:proofErr w:type="spellStart"/>
            <w:r w:rsidRPr="00DB0D0C">
              <w:rPr>
                <w:b/>
                <w:sz w:val="20"/>
                <w:szCs w:val="20"/>
              </w:rPr>
              <w:t>CPy</w:t>
            </w:r>
            <w:proofErr w:type="spellEnd"/>
            <w:r w:rsidRPr="00DB0D0C">
              <w:rPr>
                <w:b/>
                <w:sz w:val="20"/>
                <w:szCs w:val="20"/>
              </w:rPr>
              <w:t xml:space="preserve"> optics</w:t>
            </w:r>
          </w:p>
        </w:tc>
        <w:tc>
          <w:tcPr>
            <w:tcW w:w="1516" w:type="dxa"/>
          </w:tcPr>
          <w:p w:rsidR="009373C7" w:rsidRPr="00DB0D0C" w:rsidRDefault="009373C7" w:rsidP="004D21A9">
            <w:pPr>
              <w:pStyle w:val="Default"/>
              <w:rPr>
                <w:sz w:val="20"/>
                <w:szCs w:val="20"/>
              </w:rPr>
            </w:pPr>
            <w:r w:rsidRPr="00DB0D0C">
              <w:rPr>
                <w:sz w:val="20"/>
                <w:szCs w:val="20"/>
              </w:rPr>
              <w:t>See section 2.2.3</w:t>
            </w:r>
          </w:p>
        </w:tc>
        <w:tc>
          <w:tcPr>
            <w:tcW w:w="1800" w:type="dxa"/>
          </w:tcPr>
          <w:p w:rsidR="009373C7" w:rsidRPr="00220BAE" w:rsidRDefault="00220BAE" w:rsidP="004D21A9">
            <w:pPr>
              <w:pStyle w:val="Default"/>
              <w:rPr>
                <w:sz w:val="20"/>
                <w:szCs w:val="20"/>
              </w:rPr>
            </w:pPr>
            <w:r>
              <w:rPr>
                <w:sz w:val="20"/>
                <w:szCs w:val="20"/>
              </w:rPr>
              <w:t>20 days</w:t>
            </w:r>
          </w:p>
        </w:tc>
        <w:tc>
          <w:tcPr>
            <w:tcW w:w="1350" w:type="dxa"/>
          </w:tcPr>
          <w:p w:rsidR="009373C7" w:rsidRPr="00220BAE" w:rsidRDefault="00220BAE" w:rsidP="004D21A9">
            <w:pPr>
              <w:pStyle w:val="Default"/>
              <w:rPr>
                <w:sz w:val="20"/>
                <w:szCs w:val="20"/>
              </w:rPr>
            </w:pPr>
            <w:r>
              <w:rPr>
                <w:sz w:val="20"/>
                <w:szCs w:val="20"/>
              </w:rPr>
              <w:t>60 days</w:t>
            </w:r>
          </w:p>
        </w:tc>
        <w:tc>
          <w:tcPr>
            <w:tcW w:w="2070" w:type="dxa"/>
          </w:tcPr>
          <w:p w:rsidR="009373C7" w:rsidRPr="00220BAE" w:rsidRDefault="00821FDF" w:rsidP="004D21A9">
            <w:pPr>
              <w:pStyle w:val="Default"/>
              <w:rPr>
                <w:sz w:val="20"/>
                <w:szCs w:val="20"/>
              </w:rPr>
            </w:pPr>
            <w:r>
              <w:rPr>
                <w:sz w:val="20"/>
                <w:szCs w:val="20"/>
              </w:rPr>
              <w:t xml:space="preserve">Continue with install but need to stop and fix at later date </w:t>
            </w:r>
            <w:r w:rsidR="00D53A0F">
              <w:rPr>
                <w:sz w:val="20"/>
                <w:szCs w:val="20"/>
              </w:rPr>
              <w:t>10</w:t>
            </w:r>
            <w:r>
              <w:rPr>
                <w:sz w:val="20"/>
                <w:szCs w:val="20"/>
              </w:rPr>
              <w:t xml:space="preserve"> days</w:t>
            </w:r>
            <w:r w:rsidR="00D53A0F">
              <w:rPr>
                <w:sz w:val="20"/>
                <w:szCs w:val="20"/>
              </w:rPr>
              <w:t xml:space="preserve"> per site</w:t>
            </w:r>
          </w:p>
        </w:tc>
        <w:tc>
          <w:tcPr>
            <w:tcW w:w="1980" w:type="dxa"/>
          </w:tcPr>
          <w:p w:rsidR="009373C7" w:rsidRPr="00220BAE" w:rsidRDefault="00B36808" w:rsidP="004D21A9">
            <w:pPr>
              <w:pStyle w:val="Default"/>
              <w:rPr>
                <w:sz w:val="20"/>
                <w:szCs w:val="20"/>
              </w:rPr>
            </w:pPr>
            <w:r>
              <w:rPr>
                <w:sz w:val="20"/>
                <w:szCs w:val="20"/>
              </w:rPr>
              <w:t>Cuts down on spares</w:t>
            </w:r>
          </w:p>
        </w:tc>
        <w:tc>
          <w:tcPr>
            <w:tcW w:w="1620" w:type="dxa"/>
          </w:tcPr>
          <w:p w:rsidR="009373C7" w:rsidRPr="00220BAE" w:rsidRDefault="009373C7" w:rsidP="004D21A9">
            <w:pPr>
              <w:pStyle w:val="Default"/>
              <w:rPr>
                <w:sz w:val="20"/>
                <w:szCs w:val="20"/>
              </w:rPr>
            </w:pPr>
          </w:p>
        </w:tc>
        <w:tc>
          <w:tcPr>
            <w:tcW w:w="558" w:type="dxa"/>
          </w:tcPr>
          <w:p w:rsidR="009373C7" w:rsidRPr="00220BAE" w:rsidRDefault="009373C7" w:rsidP="004D21A9">
            <w:pPr>
              <w:pStyle w:val="Default"/>
              <w:rPr>
                <w:sz w:val="20"/>
                <w:szCs w:val="20"/>
              </w:rPr>
            </w:pPr>
          </w:p>
        </w:tc>
      </w:tr>
      <w:tr w:rsidR="00DB0D0C" w:rsidTr="00DB0D0C">
        <w:tc>
          <w:tcPr>
            <w:tcW w:w="558" w:type="dxa"/>
          </w:tcPr>
          <w:p w:rsidR="009373C7" w:rsidRPr="00DB0D0C" w:rsidRDefault="009373C7" w:rsidP="004D21A9">
            <w:pPr>
              <w:pStyle w:val="Default"/>
              <w:rPr>
                <w:sz w:val="20"/>
                <w:szCs w:val="20"/>
              </w:rPr>
            </w:pPr>
            <w:r w:rsidRPr="00DB0D0C">
              <w:rPr>
                <w:sz w:val="20"/>
                <w:szCs w:val="20"/>
              </w:rPr>
              <w:t>4</w:t>
            </w:r>
            <w:r w:rsidR="00220BAE" w:rsidRPr="00DB0D0C">
              <w:rPr>
                <w:sz w:val="20"/>
                <w:szCs w:val="20"/>
              </w:rPr>
              <w:t>a</w:t>
            </w:r>
          </w:p>
        </w:tc>
        <w:tc>
          <w:tcPr>
            <w:tcW w:w="1724" w:type="dxa"/>
          </w:tcPr>
          <w:p w:rsidR="009373C7" w:rsidRPr="00DB0D0C" w:rsidRDefault="009373C7" w:rsidP="00EC6EA8">
            <w:pPr>
              <w:pStyle w:val="Default"/>
              <w:rPr>
                <w:b/>
                <w:sz w:val="20"/>
                <w:szCs w:val="20"/>
              </w:rPr>
            </w:pPr>
            <w:r w:rsidRPr="00DB0D0C">
              <w:rPr>
                <w:b/>
                <w:sz w:val="20"/>
                <w:szCs w:val="20"/>
              </w:rPr>
              <w:t xml:space="preserve">Flip CP </w:t>
            </w:r>
            <w:proofErr w:type="spellStart"/>
            <w:r w:rsidR="00EC6EA8">
              <w:rPr>
                <w:b/>
                <w:sz w:val="20"/>
                <w:szCs w:val="20"/>
              </w:rPr>
              <w:t>ITMy</w:t>
            </w:r>
            <w:proofErr w:type="spellEnd"/>
            <w:r w:rsidRPr="00DB0D0C">
              <w:rPr>
                <w:b/>
                <w:sz w:val="20"/>
                <w:szCs w:val="20"/>
              </w:rPr>
              <w:t xml:space="preserve"> (without ESD available)  </w:t>
            </w:r>
          </w:p>
        </w:tc>
        <w:tc>
          <w:tcPr>
            <w:tcW w:w="1516" w:type="dxa"/>
          </w:tcPr>
          <w:p w:rsidR="009373C7" w:rsidRPr="00DB0D0C" w:rsidRDefault="00220BAE" w:rsidP="004D21A9">
            <w:pPr>
              <w:pStyle w:val="Default"/>
              <w:rPr>
                <w:sz w:val="20"/>
                <w:szCs w:val="20"/>
              </w:rPr>
            </w:pPr>
            <w:r w:rsidRPr="00DB0D0C">
              <w:rPr>
                <w:sz w:val="20"/>
                <w:szCs w:val="20"/>
              </w:rPr>
              <w:t>If wait until in chamber, s</w:t>
            </w:r>
            <w:r w:rsidR="009373C7" w:rsidRPr="00DB0D0C">
              <w:rPr>
                <w:sz w:val="20"/>
                <w:szCs w:val="20"/>
              </w:rPr>
              <w:t>ee section 2.2.4</w:t>
            </w:r>
          </w:p>
        </w:tc>
        <w:tc>
          <w:tcPr>
            <w:tcW w:w="1800" w:type="dxa"/>
          </w:tcPr>
          <w:p w:rsidR="009373C7" w:rsidRPr="00220BAE" w:rsidRDefault="003C39D0" w:rsidP="004D21A9">
            <w:pPr>
              <w:pStyle w:val="Default"/>
              <w:rPr>
                <w:sz w:val="20"/>
                <w:szCs w:val="20"/>
              </w:rPr>
            </w:pPr>
            <w:r>
              <w:rPr>
                <w:sz w:val="20"/>
                <w:szCs w:val="20"/>
              </w:rPr>
              <w:t>See schedule</w:t>
            </w:r>
          </w:p>
        </w:tc>
        <w:tc>
          <w:tcPr>
            <w:tcW w:w="1350" w:type="dxa"/>
          </w:tcPr>
          <w:p w:rsidR="009373C7" w:rsidRPr="00220BAE" w:rsidRDefault="00220BAE" w:rsidP="004D21A9">
            <w:pPr>
              <w:pStyle w:val="Default"/>
              <w:rPr>
                <w:sz w:val="20"/>
                <w:szCs w:val="20"/>
              </w:rPr>
            </w:pPr>
            <w:r w:rsidRPr="00220BAE">
              <w:rPr>
                <w:sz w:val="20"/>
                <w:szCs w:val="20"/>
              </w:rPr>
              <w:t>Tooling</w:t>
            </w:r>
          </w:p>
        </w:tc>
        <w:tc>
          <w:tcPr>
            <w:tcW w:w="2070" w:type="dxa"/>
          </w:tcPr>
          <w:p w:rsidR="009373C7" w:rsidRPr="00220BAE" w:rsidRDefault="00096C3A" w:rsidP="004D21A9">
            <w:pPr>
              <w:pStyle w:val="Default"/>
              <w:rPr>
                <w:sz w:val="20"/>
                <w:szCs w:val="20"/>
              </w:rPr>
            </w:pPr>
            <w:r>
              <w:rPr>
                <w:sz w:val="20"/>
                <w:szCs w:val="20"/>
              </w:rPr>
              <w:t>3</w:t>
            </w:r>
            <w:r w:rsidR="00220BAE" w:rsidRPr="00220BAE">
              <w:rPr>
                <w:sz w:val="20"/>
                <w:szCs w:val="20"/>
              </w:rPr>
              <w:t xml:space="preserve"> day</w:t>
            </w:r>
            <w:r w:rsidR="00821FDF">
              <w:rPr>
                <w:sz w:val="20"/>
                <w:szCs w:val="20"/>
              </w:rPr>
              <w:t>s</w:t>
            </w:r>
            <w:r w:rsidR="00220BAE" w:rsidRPr="00220BAE">
              <w:rPr>
                <w:sz w:val="20"/>
                <w:szCs w:val="20"/>
              </w:rPr>
              <w:t xml:space="preserve"> (each site) – with further work later see option 2 or 6</w:t>
            </w:r>
          </w:p>
        </w:tc>
        <w:tc>
          <w:tcPr>
            <w:tcW w:w="1980" w:type="dxa"/>
          </w:tcPr>
          <w:p w:rsidR="009373C7" w:rsidRPr="00220BAE" w:rsidRDefault="00B36808" w:rsidP="004D21A9">
            <w:pPr>
              <w:pStyle w:val="Default"/>
              <w:rPr>
                <w:sz w:val="20"/>
                <w:szCs w:val="20"/>
              </w:rPr>
            </w:pPr>
            <w:r>
              <w:rPr>
                <w:sz w:val="20"/>
                <w:szCs w:val="20"/>
              </w:rPr>
              <w:t>Tooling to support effort a TBD, assuming pick medium path described here **</w:t>
            </w:r>
          </w:p>
        </w:tc>
        <w:tc>
          <w:tcPr>
            <w:tcW w:w="1620" w:type="dxa"/>
          </w:tcPr>
          <w:p w:rsidR="009373C7" w:rsidRPr="00220BAE" w:rsidRDefault="00DB0D0C" w:rsidP="004D21A9">
            <w:pPr>
              <w:pStyle w:val="Default"/>
              <w:rPr>
                <w:sz w:val="20"/>
                <w:szCs w:val="20"/>
              </w:rPr>
            </w:pPr>
            <w:r>
              <w:rPr>
                <w:sz w:val="20"/>
                <w:szCs w:val="20"/>
              </w:rPr>
              <w:t>Must also consider options 2 or 3 in addition at a later date</w:t>
            </w:r>
          </w:p>
        </w:tc>
        <w:tc>
          <w:tcPr>
            <w:tcW w:w="558" w:type="dxa"/>
          </w:tcPr>
          <w:p w:rsidR="009373C7" w:rsidRPr="00220BAE" w:rsidRDefault="009373C7" w:rsidP="004D21A9">
            <w:pPr>
              <w:pStyle w:val="Default"/>
              <w:rPr>
                <w:sz w:val="20"/>
                <w:szCs w:val="20"/>
              </w:rPr>
            </w:pPr>
          </w:p>
        </w:tc>
      </w:tr>
      <w:tr w:rsidR="00D53A0F" w:rsidTr="00DB0D0C">
        <w:tc>
          <w:tcPr>
            <w:tcW w:w="558" w:type="dxa"/>
          </w:tcPr>
          <w:p w:rsidR="00220BAE" w:rsidRPr="00DB0D0C" w:rsidRDefault="00220BAE" w:rsidP="004D21A9">
            <w:pPr>
              <w:pStyle w:val="Default"/>
              <w:rPr>
                <w:sz w:val="20"/>
                <w:szCs w:val="20"/>
              </w:rPr>
            </w:pPr>
            <w:r w:rsidRPr="00DB0D0C">
              <w:rPr>
                <w:sz w:val="20"/>
                <w:szCs w:val="20"/>
              </w:rPr>
              <w:t>4b</w:t>
            </w:r>
          </w:p>
        </w:tc>
        <w:tc>
          <w:tcPr>
            <w:tcW w:w="1724" w:type="dxa"/>
          </w:tcPr>
          <w:p w:rsidR="00220BAE" w:rsidRPr="00DB0D0C" w:rsidRDefault="00EC6EA8" w:rsidP="003C39D0">
            <w:pPr>
              <w:pStyle w:val="Default"/>
              <w:rPr>
                <w:b/>
                <w:sz w:val="20"/>
                <w:szCs w:val="20"/>
              </w:rPr>
            </w:pPr>
            <w:r>
              <w:rPr>
                <w:b/>
                <w:sz w:val="20"/>
                <w:szCs w:val="20"/>
              </w:rPr>
              <w:t xml:space="preserve">Flip CP </w:t>
            </w:r>
            <w:proofErr w:type="spellStart"/>
            <w:r>
              <w:rPr>
                <w:b/>
                <w:sz w:val="20"/>
                <w:szCs w:val="20"/>
              </w:rPr>
              <w:t>ITMy</w:t>
            </w:r>
            <w:proofErr w:type="spellEnd"/>
            <w:r>
              <w:rPr>
                <w:b/>
                <w:sz w:val="20"/>
                <w:szCs w:val="20"/>
              </w:rPr>
              <w:t xml:space="preserve"> (without</w:t>
            </w:r>
            <w:r w:rsidR="00220BAE" w:rsidRPr="00DB0D0C">
              <w:rPr>
                <w:b/>
                <w:sz w:val="20"/>
                <w:szCs w:val="20"/>
              </w:rPr>
              <w:t xml:space="preserve"> ESD available) </w:t>
            </w:r>
          </w:p>
        </w:tc>
        <w:tc>
          <w:tcPr>
            <w:tcW w:w="1516" w:type="dxa"/>
          </w:tcPr>
          <w:p w:rsidR="00220BAE" w:rsidRPr="00DB0D0C" w:rsidRDefault="00220BAE" w:rsidP="004D21A9">
            <w:pPr>
              <w:pStyle w:val="Default"/>
              <w:rPr>
                <w:sz w:val="20"/>
                <w:szCs w:val="20"/>
              </w:rPr>
            </w:pPr>
            <w:r w:rsidRPr="00DB0D0C">
              <w:rPr>
                <w:sz w:val="20"/>
                <w:szCs w:val="20"/>
              </w:rPr>
              <w:t>If done now</w:t>
            </w:r>
            <w:r w:rsidR="003C39D0" w:rsidRPr="00DB0D0C">
              <w:rPr>
                <w:sz w:val="20"/>
                <w:szCs w:val="20"/>
              </w:rPr>
              <w:t xml:space="preserve"> on test stand</w:t>
            </w:r>
            <w:r w:rsidRPr="00DB0D0C">
              <w:rPr>
                <w:sz w:val="20"/>
                <w:szCs w:val="20"/>
              </w:rPr>
              <w:t>, see section 2.2.4</w:t>
            </w:r>
          </w:p>
        </w:tc>
        <w:tc>
          <w:tcPr>
            <w:tcW w:w="1800" w:type="dxa"/>
          </w:tcPr>
          <w:p w:rsidR="00220BAE" w:rsidRPr="00220BAE" w:rsidRDefault="003C39D0" w:rsidP="004D21A9">
            <w:pPr>
              <w:pStyle w:val="Default"/>
              <w:rPr>
                <w:sz w:val="20"/>
                <w:szCs w:val="20"/>
              </w:rPr>
            </w:pPr>
            <w:r>
              <w:rPr>
                <w:sz w:val="20"/>
                <w:szCs w:val="20"/>
              </w:rPr>
              <w:t>See schedule</w:t>
            </w:r>
          </w:p>
        </w:tc>
        <w:tc>
          <w:tcPr>
            <w:tcW w:w="1350" w:type="dxa"/>
          </w:tcPr>
          <w:p w:rsidR="00220BAE" w:rsidRPr="00220BAE" w:rsidRDefault="00220BAE" w:rsidP="004D21A9">
            <w:pPr>
              <w:pStyle w:val="Default"/>
              <w:rPr>
                <w:sz w:val="20"/>
                <w:szCs w:val="20"/>
              </w:rPr>
            </w:pPr>
            <w:r w:rsidRPr="00220BAE">
              <w:rPr>
                <w:sz w:val="20"/>
                <w:szCs w:val="20"/>
              </w:rPr>
              <w:t>Zero</w:t>
            </w:r>
          </w:p>
        </w:tc>
        <w:tc>
          <w:tcPr>
            <w:tcW w:w="2070" w:type="dxa"/>
          </w:tcPr>
          <w:p w:rsidR="00220BAE" w:rsidRPr="00220BAE" w:rsidRDefault="00220BAE" w:rsidP="004D21A9">
            <w:pPr>
              <w:pStyle w:val="Default"/>
              <w:rPr>
                <w:sz w:val="20"/>
                <w:szCs w:val="20"/>
              </w:rPr>
            </w:pPr>
            <w:r w:rsidRPr="00220BAE">
              <w:rPr>
                <w:sz w:val="20"/>
                <w:szCs w:val="20"/>
              </w:rPr>
              <w:t>1 day (each site) – with further work later see option 2 or 6</w:t>
            </w:r>
          </w:p>
        </w:tc>
        <w:tc>
          <w:tcPr>
            <w:tcW w:w="1980" w:type="dxa"/>
          </w:tcPr>
          <w:p w:rsidR="00220BAE" w:rsidRPr="00220BAE" w:rsidRDefault="00C00B86" w:rsidP="004D21A9">
            <w:pPr>
              <w:pStyle w:val="Default"/>
              <w:rPr>
                <w:sz w:val="20"/>
                <w:szCs w:val="20"/>
              </w:rPr>
            </w:pPr>
            <w:r>
              <w:rPr>
                <w:sz w:val="20"/>
                <w:szCs w:val="20"/>
              </w:rPr>
              <w:t>Not done before</w:t>
            </w:r>
          </w:p>
        </w:tc>
        <w:tc>
          <w:tcPr>
            <w:tcW w:w="1620" w:type="dxa"/>
          </w:tcPr>
          <w:p w:rsidR="00220BAE" w:rsidRPr="00220BAE" w:rsidRDefault="00DB0D0C" w:rsidP="004D21A9">
            <w:pPr>
              <w:pStyle w:val="Default"/>
              <w:rPr>
                <w:sz w:val="20"/>
                <w:szCs w:val="20"/>
              </w:rPr>
            </w:pPr>
            <w:r>
              <w:rPr>
                <w:sz w:val="20"/>
                <w:szCs w:val="20"/>
              </w:rPr>
              <w:t>Must also consider options 2 or 3 in addition at a later date</w:t>
            </w:r>
          </w:p>
        </w:tc>
        <w:tc>
          <w:tcPr>
            <w:tcW w:w="558" w:type="dxa"/>
          </w:tcPr>
          <w:p w:rsidR="00220BAE" w:rsidRPr="00220BAE" w:rsidRDefault="00220BAE" w:rsidP="004D21A9">
            <w:pPr>
              <w:pStyle w:val="Default"/>
              <w:rPr>
                <w:sz w:val="20"/>
                <w:szCs w:val="20"/>
              </w:rPr>
            </w:pPr>
          </w:p>
        </w:tc>
      </w:tr>
      <w:tr w:rsidR="00DB0D0C" w:rsidTr="00DB0D0C">
        <w:tc>
          <w:tcPr>
            <w:tcW w:w="558" w:type="dxa"/>
          </w:tcPr>
          <w:p w:rsidR="009373C7" w:rsidRPr="00DB0D0C" w:rsidRDefault="009373C7" w:rsidP="004D21A9">
            <w:pPr>
              <w:pStyle w:val="Default"/>
              <w:rPr>
                <w:sz w:val="20"/>
                <w:szCs w:val="20"/>
              </w:rPr>
            </w:pPr>
            <w:r w:rsidRPr="00DB0D0C">
              <w:rPr>
                <w:sz w:val="20"/>
                <w:szCs w:val="20"/>
              </w:rPr>
              <w:t>5</w:t>
            </w:r>
          </w:p>
        </w:tc>
        <w:tc>
          <w:tcPr>
            <w:tcW w:w="1724" w:type="dxa"/>
          </w:tcPr>
          <w:p w:rsidR="009373C7" w:rsidRPr="00DB0D0C" w:rsidRDefault="009373C7" w:rsidP="004D21A9">
            <w:pPr>
              <w:pStyle w:val="Default"/>
              <w:rPr>
                <w:b/>
                <w:sz w:val="20"/>
                <w:szCs w:val="20"/>
              </w:rPr>
            </w:pPr>
            <w:r w:rsidRPr="00DB0D0C">
              <w:rPr>
                <w:b/>
                <w:sz w:val="20"/>
                <w:szCs w:val="20"/>
              </w:rPr>
              <w:t>Flip BS</w:t>
            </w:r>
          </w:p>
        </w:tc>
        <w:tc>
          <w:tcPr>
            <w:tcW w:w="1516" w:type="dxa"/>
          </w:tcPr>
          <w:p w:rsidR="009373C7" w:rsidRPr="00DB0D0C" w:rsidRDefault="009373C7" w:rsidP="009373C7">
            <w:pPr>
              <w:pStyle w:val="Default"/>
              <w:rPr>
                <w:sz w:val="20"/>
                <w:szCs w:val="20"/>
              </w:rPr>
            </w:pPr>
            <w:r w:rsidRPr="00DB0D0C">
              <w:rPr>
                <w:sz w:val="20"/>
                <w:szCs w:val="20"/>
              </w:rPr>
              <w:t>See section 2.2.5</w:t>
            </w:r>
          </w:p>
        </w:tc>
        <w:tc>
          <w:tcPr>
            <w:tcW w:w="1800" w:type="dxa"/>
          </w:tcPr>
          <w:p w:rsidR="009373C7" w:rsidRPr="00220BAE" w:rsidRDefault="009373C7" w:rsidP="004D21A9">
            <w:pPr>
              <w:pStyle w:val="Default"/>
              <w:rPr>
                <w:sz w:val="20"/>
                <w:szCs w:val="20"/>
              </w:rPr>
            </w:pPr>
            <w:r w:rsidRPr="00220BAE">
              <w:rPr>
                <w:sz w:val="20"/>
                <w:szCs w:val="20"/>
              </w:rPr>
              <w:t>N/A</w:t>
            </w:r>
          </w:p>
        </w:tc>
        <w:tc>
          <w:tcPr>
            <w:tcW w:w="1350" w:type="dxa"/>
          </w:tcPr>
          <w:p w:rsidR="009373C7" w:rsidRPr="00220BAE" w:rsidRDefault="009373C7" w:rsidP="004D21A9">
            <w:pPr>
              <w:pStyle w:val="Default"/>
              <w:rPr>
                <w:sz w:val="20"/>
                <w:szCs w:val="20"/>
              </w:rPr>
            </w:pPr>
            <w:r w:rsidRPr="00220BAE">
              <w:rPr>
                <w:sz w:val="20"/>
                <w:szCs w:val="20"/>
              </w:rPr>
              <w:t>N/A</w:t>
            </w:r>
          </w:p>
        </w:tc>
        <w:tc>
          <w:tcPr>
            <w:tcW w:w="2070" w:type="dxa"/>
          </w:tcPr>
          <w:p w:rsidR="009373C7" w:rsidRPr="00220BAE" w:rsidRDefault="009373C7" w:rsidP="004D21A9">
            <w:pPr>
              <w:pStyle w:val="Default"/>
              <w:rPr>
                <w:sz w:val="20"/>
                <w:szCs w:val="20"/>
              </w:rPr>
            </w:pPr>
            <w:r w:rsidRPr="00220BAE">
              <w:rPr>
                <w:sz w:val="20"/>
                <w:szCs w:val="20"/>
              </w:rPr>
              <w:t>N/A</w:t>
            </w:r>
          </w:p>
        </w:tc>
        <w:tc>
          <w:tcPr>
            <w:tcW w:w="1980" w:type="dxa"/>
          </w:tcPr>
          <w:p w:rsidR="009373C7" w:rsidRPr="00220BAE" w:rsidRDefault="00B36808" w:rsidP="004D21A9">
            <w:pPr>
              <w:pStyle w:val="Default"/>
              <w:rPr>
                <w:sz w:val="20"/>
                <w:szCs w:val="20"/>
              </w:rPr>
            </w:pPr>
            <w:r w:rsidRPr="00220BAE">
              <w:rPr>
                <w:sz w:val="20"/>
                <w:szCs w:val="20"/>
              </w:rPr>
              <w:t>Committee does not consider this a viable option</w:t>
            </w:r>
          </w:p>
        </w:tc>
        <w:tc>
          <w:tcPr>
            <w:tcW w:w="1620" w:type="dxa"/>
          </w:tcPr>
          <w:p w:rsidR="009373C7" w:rsidRPr="00220BAE" w:rsidRDefault="009373C7" w:rsidP="004D21A9">
            <w:pPr>
              <w:pStyle w:val="Default"/>
              <w:rPr>
                <w:sz w:val="20"/>
                <w:szCs w:val="20"/>
              </w:rPr>
            </w:pPr>
          </w:p>
        </w:tc>
        <w:tc>
          <w:tcPr>
            <w:tcW w:w="558" w:type="dxa"/>
          </w:tcPr>
          <w:p w:rsidR="009373C7" w:rsidRPr="00220BAE" w:rsidRDefault="00DB0D0C" w:rsidP="004D21A9">
            <w:pPr>
              <w:pStyle w:val="Default"/>
              <w:rPr>
                <w:sz w:val="20"/>
                <w:szCs w:val="20"/>
              </w:rPr>
            </w:pPr>
            <w:r>
              <w:rPr>
                <w:sz w:val="20"/>
                <w:szCs w:val="20"/>
              </w:rPr>
              <w:t>N/A</w:t>
            </w:r>
          </w:p>
        </w:tc>
      </w:tr>
      <w:tr w:rsidR="00DB0D0C" w:rsidTr="00DB0D0C">
        <w:tc>
          <w:tcPr>
            <w:tcW w:w="558" w:type="dxa"/>
          </w:tcPr>
          <w:p w:rsidR="009373C7" w:rsidRPr="00DB0D0C" w:rsidRDefault="009373C7" w:rsidP="004D21A9">
            <w:pPr>
              <w:pStyle w:val="Default"/>
              <w:rPr>
                <w:sz w:val="20"/>
                <w:szCs w:val="20"/>
              </w:rPr>
            </w:pPr>
            <w:r w:rsidRPr="00DB0D0C">
              <w:rPr>
                <w:sz w:val="20"/>
                <w:szCs w:val="20"/>
              </w:rPr>
              <w:t>6</w:t>
            </w:r>
          </w:p>
        </w:tc>
        <w:tc>
          <w:tcPr>
            <w:tcW w:w="1724" w:type="dxa"/>
          </w:tcPr>
          <w:p w:rsidR="009373C7" w:rsidRPr="00DB0D0C" w:rsidRDefault="00BF6728" w:rsidP="004D21A9">
            <w:pPr>
              <w:pStyle w:val="Default"/>
              <w:rPr>
                <w:b/>
                <w:sz w:val="20"/>
                <w:szCs w:val="20"/>
              </w:rPr>
            </w:pPr>
            <w:r>
              <w:rPr>
                <w:b/>
                <w:sz w:val="20"/>
                <w:szCs w:val="20"/>
              </w:rPr>
              <w:t xml:space="preserve">Flip </w:t>
            </w:r>
            <w:proofErr w:type="spellStart"/>
            <w:r>
              <w:rPr>
                <w:b/>
                <w:sz w:val="20"/>
                <w:szCs w:val="20"/>
              </w:rPr>
              <w:t>CP</w:t>
            </w:r>
            <w:r w:rsidR="009373C7" w:rsidRPr="00DB0D0C">
              <w:rPr>
                <w:b/>
                <w:sz w:val="20"/>
                <w:szCs w:val="20"/>
              </w:rPr>
              <w:t>x</w:t>
            </w:r>
            <w:proofErr w:type="spellEnd"/>
          </w:p>
        </w:tc>
        <w:tc>
          <w:tcPr>
            <w:tcW w:w="1516" w:type="dxa"/>
          </w:tcPr>
          <w:p w:rsidR="009373C7" w:rsidRPr="00DB0D0C" w:rsidRDefault="00BF6728" w:rsidP="004D21A9">
            <w:pPr>
              <w:pStyle w:val="Default"/>
              <w:rPr>
                <w:sz w:val="20"/>
                <w:szCs w:val="20"/>
              </w:rPr>
            </w:pPr>
            <w:r w:rsidRPr="00DB0D0C">
              <w:rPr>
                <w:sz w:val="20"/>
                <w:szCs w:val="20"/>
              </w:rPr>
              <w:t>See section 2.2.</w:t>
            </w:r>
            <w:r>
              <w:rPr>
                <w:sz w:val="20"/>
                <w:szCs w:val="20"/>
              </w:rPr>
              <w:t>6</w:t>
            </w:r>
          </w:p>
        </w:tc>
        <w:tc>
          <w:tcPr>
            <w:tcW w:w="1800" w:type="dxa"/>
          </w:tcPr>
          <w:p w:rsidR="009373C7" w:rsidRPr="00220BAE" w:rsidRDefault="009373C7" w:rsidP="004D21A9">
            <w:pPr>
              <w:pStyle w:val="Default"/>
              <w:rPr>
                <w:sz w:val="20"/>
                <w:szCs w:val="20"/>
              </w:rPr>
            </w:pPr>
          </w:p>
        </w:tc>
        <w:tc>
          <w:tcPr>
            <w:tcW w:w="1350" w:type="dxa"/>
          </w:tcPr>
          <w:p w:rsidR="009373C7" w:rsidRPr="00220BAE" w:rsidRDefault="009373C7" w:rsidP="004D21A9">
            <w:pPr>
              <w:pStyle w:val="Default"/>
              <w:rPr>
                <w:sz w:val="20"/>
                <w:szCs w:val="20"/>
              </w:rPr>
            </w:pPr>
          </w:p>
        </w:tc>
        <w:tc>
          <w:tcPr>
            <w:tcW w:w="2070" w:type="dxa"/>
          </w:tcPr>
          <w:p w:rsidR="009373C7" w:rsidRPr="00220BAE" w:rsidRDefault="009373C7" w:rsidP="004D21A9">
            <w:pPr>
              <w:pStyle w:val="Default"/>
              <w:rPr>
                <w:sz w:val="20"/>
                <w:szCs w:val="20"/>
              </w:rPr>
            </w:pPr>
          </w:p>
        </w:tc>
        <w:tc>
          <w:tcPr>
            <w:tcW w:w="1980" w:type="dxa"/>
          </w:tcPr>
          <w:p w:rsidR="009373C7" w:rsidRPr="00220BAE" w:rsidRDefault="00BF6728" w:rsidP="004D21A9">
            <w:pPr>
              <w:pStyle w:val="Default"/>
              <w:rPr>
                <w:sz w:val="20"/>
                <w:szCs w:val="20"/>
              </w:rPr>
            </w:pPr>
            <w:proofErr w:type="spellStart"/>
            <w:r>
              <w:rPr>
                <w:sz w:val="20"/>
                <w:szCs w:val="20"/>
              </w:rPr>
              <w:t>Zemax</w:t>
            </w:r>
            <w:proofErr w:type="spellEnd"/>
            <w:r>
              <w:rPr>
                <w:sz w:val="20"/>
                <w:szCs w:val="20"/>
              </w:rPr>
              <w:t xml:space="preserve"> work not done at this point</w:t>
            </w:r>
          </w:p>
        </w:tc>
        <w:tc>
          <w:tcPr>
            <w:tcW w:w="1620" w:type="dxa"/>
          </w:tcPr>
          <w:p w:rsidR="009373C7" w:rsidRPr="00220BAE" w:rsidRDefault="009373C7" w:rsidP="004D21A9">
            <w:pPr>
              <w:pStyle w:val="Default"/>
              <w:rPr>
                <w:sz w:val="20"/>
                <w:szCs w:val="20"/>
              </w:rPr>
            </w:pPr>
          </w:p>
        </w:tc>
        <w:tc>
          <w:tcPr>
            <w:tcW w:w="558" w:type="dxa"/>
          </w:tcPr>
          <w:p w:rsidR="009373C7" w:rsidRPr="00220BAE" w:rsidRDefault="009373C7" w:rsidP="004D21A9">
            <w:pPr>
              <w:pStyle w:val="Default"/>
              <w:rPr>
                <w:sz w:val="20"/>
                <w:szCs w:val="20"/>
              </w:rPr>
            </w:pPr>
          </w:p>
        </w:tc>
      </w:tr>
      <w:tr w:rsidR="00DB0D0C" w:rsidTr="00DB0D0C">
        <w:tc>
          <w:tcPr>
            <w:tcW w:w="558" w:type="dxa"/>
          </w:tcPr>
          <w:p w:rsidR="009373C7" w:rsidRPr="00DB0D0C" w:rsidRDefault="009373C7" w:rsidP="004D21A9">
            <w:pPr>
              <w:pStyle w:val="Default"/>
              <w:rPr>
                <w:sz w:val="20"/>
                <w:szCs w:val="20"/>
              </w:rPr>
            </w:pPr>
            <w:r w:rsidRPr="00DB0D0C">
              <w:rPr>
                <w:sz w:val="20"/>
                <w:szCs w:val="20"/>
              </w:rPr>
              <w:t>7</w:t>
            </w:r>
          </w:p>
        </w:tc>
        <w:tc>
          <w:tcPr>
            <w:tcW w:w="1724" w:type="dxa"/>
          </w:tcPr>
          <w:p w:rsidR="009373C7" w:rsidRPr="00DB0D0C" w:rsidRDefault="009373C7" w:rsidP="004D21A9">
            <w:pPr>
              <w:pStyle w:val="Default"/>
              <w:rPr>
                <w:b/>
                <w:sz w:val="20"/>
                <w:szCs w:val="20"/>
              </w:rPr>
            </w:pPr>
            <w:r w:rsidRPr="00DB0D0C">
              <w:rPr>
                <w:b/>
                <w:sz w:val="20"/>
                <w:szCs w:val="20"/>
              </w:rPr>
              <w:t xml:space="preserve">Putting </w:t>
            </w:r>
            <w:proofErr w:type="spellStart"/>
            <w:r w:rsidRPr="00DB0D0C">
              <w:rPr>
                <w:b/>
                <w:sz w:val="20"/>
                <w:szCs w:val="20"/>
              </w:rPr>
              <w:t>CPy</w:t>
            </w:r>
            <w:proofErr w:type="spellEnd"/>
            <w:r w:rsidRPr="00DB0D0C">
              <w:rPr>
                <w:b/>
                <w:sz w:val="20"/>
                <w:szCs w:val="20"/>
              </w:rPr>
              <w:t xml:space="preserve"> into </w:t>
            </w:r>
            <w:proofErr w:type="spellStart"/>
            <w:r w:rsidRPr="00DB0D0C">
              <w:rPr>
                <w:b/>
                <w:sz w:val="20"/>
                <w:szCs w:val="20"/>
              </w:rPr>
              <w:t>ITMx</w:t>
            </w:r>
            <w:proofErr w:type="spellEnd"/>
          </w:p>
        </w:tc>
        <w:tc>
          <w:tcPr>
            <w:tcW w:w="1516" w:type="dxa"/>
          </w:tcPr>
          <w:p w:rsidR="009373C7" w:rsidRPr="00DB0D0C" w:rsidRDefault="00BF6728" w:rsidP="004D21A9">
            <w:pPr>
              <w:pStyle w:val="Default"/>
              <w:rPr>
                <w:sz w:val="20"/>
                <w:szCs w:val="20"/>
              </w:rPr>
            </w:pPr>
            <w:r w:rsidRPr="00DB0D0C">
              <w:rPr>
                <w:sz w:val="20"/>
                <w:szCs w:val="20"/>
              </w:rPr>
              <w:t>See section 2.2.</w:t>
            </w:r>
            <w:r>
              <w:rPr>
                <w:sz w:val="20"/>
                <w:szCs w:val="20"/>
              </w:rPr>
              <w:t>7</w:t>
            </w:r>
          </w:p>
        </w:tc>
        <w:tc>
          <w:tcPr>
            <w:tcW w:w="1800" w:type="dxa"/>
          </w:tcPr>
          <w:p w:rsidR="009373C7" w:rsidRPr="00220BAE" w:rsidRDefault="009373C7" w:rsidP="004D21A9">
            <w:pPr>
              <w:pStyle w:val="Default"/>
              <w:rPr>
                <w:sz w:val="20"/>
                <w:szCs w:val="20"/>
              </w:rPr>
            </w:pPr>
          </w:p>
        </w:tc>
        <w:tc>
          <w:tcPr>
            <w:tcW w:w="1350" w:type="dxa"/>
          </w:tcPr>
          <w:p w:rsidR="009373C7" w:rsidRPr="00220BAE" w:rsidRDefault="009373C7" w:rsidP="004D21A9">
            <w:pPr>
              <w:pStyle w:val="Default"/>
              <w:rPr>
                <w:sz w:val="20"/>
                <w:szCs w:val="20"/>
              </w:rPr>
            </w:pPr>
          </w:p>
        </w:tc>
        <w:tc>
          <w:tcPr>
            <w:tcW w:w="2070" w:type="dxa"/>
          </w:tcPr>
          <w:p w:rsidR="009373C7" w:rsidRPr="00220BAE" w:rsidRDefault="00BF6728" w:rsidP="004D21A9">
            <w:pPr>
              <w:pStyle w:val="Default"/>
              <w:rPr>
                <w:sz w:val="20"/>
                <w:szCs w:val="20"/>
              </w:rPr>
            </w:pPr>
            <w:r>
              <w:rPr>
                <w:sz w:val="20"/>
                <w:szCs w:val="20"/>
              </w:rPr>
              <w:t xml:space="preserve">Stop gap for now still need to address what to do for </w:t>
            </w:r>
            <w:proofErr w:type="spellStart"/>
            <w:r>
              <w:rPr>
                <w:sz w:val="20"/>
                <w:szCs w:val="20"/>
              </w:rPr>
              <w:t>ITMy</w:t>
            </w:r>
            <w:proofErr w:type="spellEnd"/>
          </w:p>
        </w:tc>
        <w:tc>
          <w:tcPr>
            <w:tcW w:w="1980" w:type="dxa"/>
          </w:tcPr>
          <w:p w:rsidR="009373C7" w:rsidRPr="00220BAE" w:rsidRDefault="00BF6728" w:rsidP="004D21A9">
            <w:pPr>
              <w:pStyle w:val="Default"/>
              <w:rPr>
                <w:sz w:val="20"/>
                <w:szCs w:val="20"/>
              </w:rPr>
            </w:pPr>
            <w:r>
              <w:rPr>
                <w:sz w:val="20"/>
                <w:szCs w:val="20"/>
              </w:rPr>
              <w:t>New item not thought through</w:t>
            </w:r>
          </w:p>
        </w:tc>
        <w:tc>
          <w:tcPr>
            <w:tcW w:w="1620" w:type="dxa"/>
          </w:tcPr>
          <w:p w:rsidR="009373C7" w:rsidRPr="00220BAE" w:rsidRDefault="009373C7" w:rsidP="004D21A9">
            <w:pPr>
              <w:pStyle w:val="Default"/>
              <w:rPr>
                <w:sz w:val="20"/>
                <w:szCs w:val="20"/>
              </w:rPr>
            </w:pPr>
          </w:p>
        </w:tc>
        <w:tc>
          <w:tcPr>
            <w:tcW w:w="558" w:type="dxa"/>
          </w:tcPr>
          <w:p w:rsidR="009373C7" w:rsidRPr="00220BAE" w:rsidRDefault="009373C7" w:rsidP="004D21A9">
            <w:pPr>
              <w:pStyle w:val="Default"/>
              <w:rPr>
                <w:sz w:val="20"/>
                <w:szCs w:val="20"/>
              </w:rPr>
            </w:pPr>
          </w:p>
        </w:tc>
      </w:tr>
    </w:tbl>
    <w:p w:rsidR="00DA4A3F" w:rsidRPr="00B36808" w:rsidRDefault="00DA4A3F" w:rsidP="00DA4A3F">
      <w:pPr>
        <w:pStyle w:val="Default"/>
        <w:rPr>
          <w:i/>
          <w:sz w:val="16"/>
          <w:szCs w:val="16"/>
        </w:rPr>
      </w:pPr>
      <w:r w:rsidRPr="00B36808">
        <w:rPr>
          <w:i/>
          <w:sz w:val="16"/>
          <w:szCs w:val="16"/>
        </w:rPr>
        <w:t xml:space="preserve">* </w:t>
      </w:r>
      <w:r w:rsidR="00B36808" w:rsidRPr="00B36808">
        <w:rPr>
          <w:i/>
          <w:sz w:val="16"/>
          <w:szCs w:val="16"/>
        </w:rPr>
        <w:t>Unless sta</w:t>
      </w:r>
      <w:r w:rsidR="00B36808">
        <w:rPr>
          <w:i/>
          <w:sz w:val="16"/>
          <w:szCs w:val="16"/>
        </w:rPr>
        <w:t xml:space="preserve">ted this is not INS </w:t>
      </w:r>
      <w:r w:rsidRPr="00B36808">
        <w:rPr>
          <w:i/>
          <w:sz w:val="16"/>
          <w:szCs w:val="16"/>
        </w:rPr>
        <w:t>Staff time</w:t>
      </w:r>
      <w:r w:rsidR="00D53A0F">
        <w:rPr>
          <w:i/>
          <w:sz w:val="16"/>
          <w:szCs w:val="16"/>
        </w:rPr>
        <w:t xml:space="preserve">. It is time </w:t>
      </w:r>
      <w:r w:rsidRPr="00B36808">
        <w:rPr>
          <w:i/>
          <w:sz w:val="16"/>
          <w:szCs w:val="16"/>
        </w:rPr>
        <w:t xml:space="preserve">to create e.g. new layouts, </w:t>
      </w:r>
      <w:r w:rsidR="00B36808">
        <w:rPr>
          <w:i/>
          <w:sz w:val="16"/>
          <w:szCs w:val="16"/>
        </w:rPr>
        <w:t xml:space="preserve">design tooling, design parts, </w:t>
      </w:r>
      <w:r w:rsidRPr="00B36808">
        <w:rPr>
          <w:i/>
          <w:sz w:val="16"/>
          <w:szCs w:val="16"/>
        </w:rPr>
        <w:t xml:space="preserve">try new optical schemes, generate new cable layouts, </w:t>
      </w:r>
      <w:proofErr w:type="spellStart"/>
      <w:r w:rsidRPr="00B36808">
        <w:rPr>
          <w:i/>
          <w:sz w:val="16"/>
          <w:szCs w:val="16"/>
        </w:rPr>
        <w:t>etc</w:t>
      </w:r>
      <w:proofErr w:type="spellEnd"/>
      <w:r w:rsidRPr="00B36808">
        <w:rPr>
          <w:i/>
          <w:sz w:val="16"/>
          <w:szCs w:val="16"/>
        </w:rPr>
        <w:t xml:space="preserve"> …</w:t>
      </w:r>
    </w:p>
    <w:p w:rsidR="00B36808" w:rsidRDefault="00B36808" w:rsidP="00DA4A3F">
      <w:pPr>
        <w:pStyle w:val="Default"/>
        <w:rPr>
          <w:i/>
          <w:sz w:val="16"/>
          <w:szCs w:val="16"/>
        </w:rPr>
      </w:pPr>
      <w:r w:rsidRPr="00B36808">
        <w:rPr>
          <w:i/>
          <w:sz w:val="16"/>
          <w:szCs w:val="16"/>
        </w:rPr>
        <w:t>** There is another option not considered here in terms of flipping the CP i.e. splitting the chains and removing the suspension to chamber side</w:t>
      </w:r>
      <w:r w:rsidR="00766E7A">
        <w:rPr>
          <w:i/>
          <w:sz w:val="16"/>
          <w:szCs w:val="16"/>
        </w:rPr>
        <w:t xml:space="preserve"> which would be 10 days per site</w:t>
      </w:r>
    </w:p>
    <w:p w:rsidR="005639D5" w:rsidRPr="00B36808" w:rsidRDefault="005639D5" w:rsidP="00DA4A3F">
      <w:pPr>
        <w:pStyle w:val="Default"/>
        <w:rPr>
          <w:i/>
          <w:sz w:val="16"/>
          <w:szCs w:val="16"/>
        </w:rPr>
      </w:pPr>
    </w:p>
    <w:p w:rsidR="001A1B91" w:rsidRDefault="00F127D2" w:rsidP="009373C7">
      <w:pPr>
        <w:pStyle w:val="Default"/>
        <w:numPr>
          <w:ilvl w:val="0"/>
          <w:numId w:val="16"/>
        </w:numPr>
        <w:rPr>
          <w:rStyle w:val="Strong"/>
          <w:u w:val="single"/>
        </w:rPr>
      </w:pPr>
      <w:r>
        <w:rPr>
          <w:rStyle w:val="Strong"/>
          <w:u w:val="single"/>
        </w:rPr>
        <w:lastRenderedPageBreak/>
        <w:t>Appendix</w:t>
      </w:r>
    </w:p>
    <w:p w:rsidR="00F127D2" w:rsidRDefault="00F127D2" w:rsidP="00F127D2">
      <w:pPr>
        <w:pStyle w:val="Default"/>
        <w:rPr>
          <w:rStyle w:val="Strong"/>
          <w:u w:val="single"/>
        </w:rPr>
      </w:pPr>
      <w:r>
        <w:rPr>
          <w:rStyle w:val="Strong"/>
          <w:u w:val="single"/>
        </w:rPr>
        <w:t>LBSC1</w:t>
      </w:r>
    </w:p>
    <w:p w:rsidR="00F127D2" w:rsidRDefault="002B479A" w:rsidP="00F127D2">
      <w:pPr>
        <w:pStyle w:val="Default"/>
        <w:rPr>
          <w:rStyle w:val="Strong"/>
          <w:u w:val="single"/>
        </w:rPr>
      </w:pPr>
      <w:r>
        <w:rPr>
          <w:b/>
          <w:bCs/>
          <w:noProof/>
          <w:u w:val="single"/>
        </w:rPr>
        <w:drawing>
          <wp:inline distT="0" distB="0" distL="0" distR="0" wp14:anchorId="06CEF6A5" wp14:editId="4CD8C80B">
            <wp:extent cx="8382000" cy="51662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900428 AdvLIGO Systems, BSC2-L1 Top Level Chamber Assembly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382000" cy="5166214"/>
                    </a:xfrm>
                    <a:prstGeom prst="rect">
                      <a:avLst/>
                    </a:prstGeom>
                  </pic:spPr>
                </pic:pic>
              </a:graphicData>
            </a:graphic>
          </wp:inline>
        </w:drawing>
      </w:r>
    </w:p>
    <w:p w:rsidR="008C3096" w:rsidRDefault="008C3096" w:rsidP="00F127D2">
      <w:pPr>
        <w:pStyle w:val="Default"/>
        <w:rPr>
          <w:rStyle w:val="Strong"/>
          <w:u w:val="single"/>
        </w:rPr>
      </w:pPr>
    </w:p>
    <w:p w:rsidR="008C3096" w:rsidRDefault="008C3096" w:rsidP="00F127D2">
      <w:pPr>
        <w:pStyle w:val="Default"/>
        <w:rPr>
          <w:rStyle w:val="Strong"/>
          <w:u w:val="single"/>
        </w:rPr>
      </w:pPr>
    </w:p>
    <w:p w:rsidR="00F127D2" w:rsidRDefault="00F127D2" w:rsidP="00F127D2">
      <w:pPr>
        <w:pStyle w:val="Default"/>
        <w:rPr>
          <w:rStyle w:val="Strong"/>
          <w:u w:val="single"/>
        </w:rPr>
      </w:pPr>
      <w:r>
        <w:rPr>
          <w:rStyle w:val="Strong"/>
          <w:u w:val="single"/>
        </w:rPr>
        <w:lastRenderedPageBreak/>
        <w:t>LHAM5</w:t>
      </w:r>
    </w:p>
    <w:p w:rsidR="002B479A" w:rsidRDefault="002B479A" w:rsidP="00F127D2">
      <w:pPr>
        <w:pStyle w:val="Default"/>
        <w:rPr>
          <w:rStyle w:val="Strong"/>
          <w:u w:val="single"/>
        </w:rPr>
      </w:pPr>
    </w:p>
    <w:p w:rsidR="002B479A" w:rsidRPr="00F127D2" w:rsidRDefault="002B479A" w:rsidP="00F127D2">
      <w:pPr>
        <w:pStyle w:val="Default"/>
        <w:rPr>
          <w:rStyle w:val="Strong"/>
          <w:u w:val="single"/>
        </w:rPr>
      </w:pPr>
      <w:r>
        <w:rPr>
          <w:b/>
          <w:bCs/>
          <w:noProof/>
          <w:u w:val="single"/>
        </w:rPr>
        <w:drawing>
          <wp:inline distT="0" distB="0" distL="0" distR="0" wp14:anchorId="337F3F5D" wp14:editId="33AEA5CF">
            <wp:extent cx="8522651" cy="4960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900456 AdvLIGO Systems, HAM5-L1 Top Level Chamber Assembly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522651" cy="4960620"/>
                    </a:xfrm>
                    <a:prstGeom prst="rect">
                      <a:avLst/>
                    </a:prstGeom>
                  </pic:spPr>
                </pic:pic>
              </a:graphicData>
            </a:graphic>
          </wp:inline>
        </w:drawing>
      </w:r>
    </w:p>
    <w:sectPr w:rsidR="002B479A" w:rsidRPr="00F127D2" w:rsidSect="008C3096">
      <w:footnotePr>
        <w:numFmt w:val="chicago"/>
      </w:footnotePr>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651" w:rsidRDefault="000B1651">
      <w:r>
        <w:separator/>
      </w:r>
    </w:p>
  </w:endnote>
  <w:endnote w:type="continuationSeparator" w:id="0">
    <w:p w:rsidR="000B1651" w:rsidRDefault="000B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1DE" w:rsidRPr="00B5781C" w:rsidRDefault="0087517C" w:rsidP="00D961DE">
    <w:pPr>
      <w:pStyle w:val="Footer"/>
      <w:jc w:val="center"/>
      <w:rPr>
        <w:rFonts w:ascii="Arial" w:hAnsi="Arial" w:cs="Arial"/>
        <w:i/>
        <w:iCs/>
        <w:sz w:val="20"/>
        <w:szCs w:val="20"/>
      </w:rPr>
    </w:pPr>
    <w:r w:rsidRPr="00B5781C">
      <w:rPr>
        <w:rFonts w:ascii="Arial" w:hAnsi="Arial" w:cs="Arial"/>
        <w:i/>
        <w:iCs/>
        <w:sz w:val="20"/>
        <w:szCs w:val="20"/>
      </w:rPr>
      <w:t>CALIFORNIA INSTITUTE OF TECHNOLOGY</w:t>
    </w:r>
  </w:p>
  <w:p w:rsidR="00D961DE" w:rsidRDefault="00D961DE" w:rsidP="00D961DE">
    <w:pPr>
      <w:pStyle w:val="Footer"/>
      <w:jc w:val="center"/>
      <w:rPr>
        <w:rFonts w:ascii="Arial" w:hAnsi="Arial" w:cs="Arial"/>
        <w:i/>
        <w:iCs/>
      </w:rPr>
    </w:pPr>
  </w:p>
  <w:p w:rsidR="00D961DE" w:rsidRPr="00B5781C" w:rsidRDefault="0037033D" w:rsidP="00A5141D">
    <w:pPr>
      <w:pStyle w:val="Footer"/>
      <w:tabs>
        <w:tab w:val="left" w:pos="3471"/>
      </w:tabs>
      <w:jc w:val="center"/>
      <w:rPr>
        <w:rFonts w:ascii="Arial" w:hAnsi="Arial" w:cs="Arial"/>
        <w:i/>
        <w:iCs/>
        <w:sz w:val="18"/>
        <w:szCs w:val="18"/>
      </w:rPr>
    </w:pPr>
    <w:r>
      <w:rPr>
        <w:sz w:val="18"/>
        <w:szCs w:val="18"/>
      </w:rPr>
      <w:t xml:space="preserve">Form </w:t>
    </w:r>
    <w:r w:rsidR="00D961DE" w:rsidRPr="00B5781C">
      <w:rPr>
        <w:sz w:val="18"/>
        <w:szCs w:val="18"/>
      </w:rPr>
      <w:t>F0900023-v1</w:t>
    </w:r>
    <w:r w:rsidR="008E6250">
      <w:rPr>
        <w:sz w:val="18"/>
        <w:szCs w:val="18"/>
      </w:rPr>
      <w:tab/>
    </w:r>
    <w:r w:rsidR="00A5141D" w:rsidRPr="00395F34">
      <w:rPr>
        <w:rFonts w:ascii="Arial" w:hAnsi="Arial" w:cs="Arial"/>
        <w:sz w:val="16"/>
        <w:szCs w:val="16"/>
      </w:rPr>
      <w:t>LIGO-L1200291-v</w:t>
    </w:r>
    <w:r w:rsidR="00AC28A9">
      <w:rPr>
        <w:rFonts w:ascii="Arial" w:hAnsi="Arial" w:cs="Arial"/>
        <w:sz w:val="16"/>
        <w:szCs w:val="16"/>
      </w:rPr>
      <w:t>4</w:t>
    </w:r>
    <w:r w:rsidR="00A5141D">
      <w:rPr>
        <w:sz w:val="18"/>
        <w:szCs w:val="18"/>
      </w:rPr>
      <w:tab/>
    </w:r>
    <w:r w:rsidR="008E6250" w:rsidRPr="008E6250">
      <w:rPr>
        <w:color w:val="808080" w:themeColor="background1" w:themeShade="80"/>
        <w:spacing w:val="60"/>
        <w:sz w:val="18"/>
        <w:szCs w:val="18"/>
      </w:rPr>
      <w:t>Page</w:t>
    </w:r>
    <w:r w:rsidR="008E6250" w:rsidRPr="008E6250">
      <w:rPr>
        <w:sz w:val="18"/>
        <w:szCs w:val="18"/>
      </w:rPr>
      <w:t xml:space="preserve"> | </w:t>
    </w:r>
    <w:r w:rsidR="008E6250" w:rsidRPr="008E6250">
      <w:rPr>
        <w:sz w:val="18"/>
        <w:szCs w:val="18"/>
      </w:rPr>
      <w:fldChar w:fldCharType="begin"/>
    </w:r>
    <w:r w:rsidR="008E6250" w:rsidRPr="008E6250">
      <w:rPr>
        <w:sz w:val="18"/>
        <w:szCs w:val="18"/>
      </w:rPr>
      <w:instrText xml:space="preserve"> PAGE   \* MERGEFORMAT </w:instrText>
    </w:r>
    <w:r w:rsidR="008E6250" w:rsidRPr="008E6250">
      <w:rPr>
        <w:sz w:val="18"/>
        <w:szCs w:val="18"/>
      </w:rPr>
      <w:fldChar w:fldCharType="separate"/>
    </w:r>
    <w:r w:rsidR="009570F5" w:rsidRPr="009570F5">
      <w:rPr>
        <w:b/>
        <w:bCs/>
        <w:noProof/>
        <w:sz w:val="18"/>
        <w:szCs w:val="18"/>
      </w:rPr>
      <w:t>5</w:t>
    </w:r>
    <w:r w:rsidR="008E6250" w:rsidRPr="008E6250">
      <w:rPr>
        <w:b/>
        <w:bCs/>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41D" w:rsidRDefault="00A5141D" w:rsidP="00A5141D">
    <w:pPr>
      <w:pStyle w:val="Footer"/>
      <w:jc w:val="center"/>
      <w:rPr>
        <w:rFonts w:ascii="Arial" w:hAnsi="Arial" w:cs="Arial"/>
        <w:i/>
        <w:iCs/>
        <w:sz w:val="20"/>
        <w:szCs w:val="20"/>
      </w:rPr>
    </w:pPr>
  </w:p>
  <w:p w:rsidR="00A5141D" w:rsidRPr="00B5781C" w:rsidRDefault="00A5141D" w:rsidP="00A5141D">
    <w:pPr>
      <w:pStyle w:val="Footer"/>
      <w:jc w:val="center"/>
      <w:rPr>
        <w:rFonts w:ascii="Arial" w:hAnsi="Arial" w:cs="Arial"/>
        <w:i/>
        <w:iCs/>
        <w:sz w:val="20"/>
        <w:szCs w:val="20"/>
      </w:rPr>
    </w:pPr>
    <w:r w:rsidRPr="00B5781C">
      <w:rPr>
        <w:rFonts w:ascii="Arial" w:hAnsi="Arial" w:cs="Arial"/>
        <w:i/>
        <w:iCs/>
        <w:sz w:val="20"/>
        <w:szCs w:val="20"/>
      </w:rPr>
      <w:t>CALIFORNIA INSTITUTE OF TECHNOLOGY</w:t>
    </w:r>
  </w:p>
  <w:p w:rsidR="00A5141D" w:rsidRDefault="00A5141D" w:rsidP="00A5141D">
    <w:pPr>
      <w:pStyle w:val="Footer"/>
      <w:jc w:val="center"/>
      <w:rPr>
        <w:rFonts w:ascii="Arial" w:hAnsi="Arial" w:cs="Arial"/>
        <w:i/>
        <w:iCs/>
      </w:rPr>
    </w:pPr>
  </w:p>
  <w:p w:rsidR="00A5141D" w:rsidRPr="00B5781C" w:rsidRDefault="00A5141D" w:rsidP="00A5141D">
    <w:pPr>
      <w:pStyle w:val="Footer"/>
      <w:tabs>
        <w:tab w:val="left" w:pos="3471"/>
      </w:tabs>
      <w:jc w:val="center"/>
      <w:rPr>
        <w:rFonts w:ascii="Arial" w:hAnsi="Arial" w:cs="Arial"/>
        <w:i/>
        <w:iCs/>
        <w:sz w:val="18"/>
        <w:szCs w:val="18"/>
      </w:rPr>
    </w:pPr>
    <w:r>
      <w:rPr>
        <w:sz w:val="18"/>
        <w:szCs w:val="18"/>
      </w:rPr>
      <w:t xml:space="preserve">Form </w:t>
    </w:r>
    <w:r w:rsidRPr="00B5781C">
      <w:rPr>
        <w:sz w:val="18"/>
        <w:szCs w:val="18"/>
      </w:rPr>
      <w:t>F0900023-v1</w:t>
    </w:r>
    <w:r>
      <w:rPr>
        <w:sz w:val="18"/>
        <w:szCs w:val="18"/>
      </w:rPr>
      <w:tab/>
    </w:r>
    <w:r w:rsidRPr="00303519">
      <w:rPr>
        <w:rFonts w:ascii="Arial" w:hAnsi="Arial" w:cs="Arial"/>
        <w:sz w:val="16"/>
        <w:szCs w:val="16"/>
      </w:rPr>
      <w:t>LIGO-L1200291-v</w:t>
    </w:r>
    <w:r w:rsidR="00155951">
      <w:rPr>
        <w:sz w:val="18"/>
        <w:szCs w:val="18"/>
      </w:rPr>
      <w:t>5</w:t>
    </w:r>
    <w:r>
      <w:rPr>
        <w:sz w:val="18"/>
        <w:szCs w:val="18"/>
      </w:rPr>
      <w:tab/>
    </w:r>
    <w:r w:rsidRPr="008E6250">
      <w:rPr>
        <w:color w:val="808080" w:themeColor="background1" w:themeShade="80"/>
        <w:spacing w:val="60"/>
        <w:sz w:val="18"/>
        <w:szCs w:val="18"/>
      </w:rPr>
      <w:t>Page</w:t>
    </w:r>
    <w:r w:rsidRPr="008E6250">
      <w:rPr>
        <w:sz w:val="18"/>
        <w:szCs w:val="18"/>
      </w:rPr>
      <w:t xml:space="preserve"> | </w:t>
    </w:r>
    <w:r w:rsidRPr="008E6250">
      <w:rPr>
        <w:sz w:val="18"/>
        <w:szCs w:val="18"/>
      </w:rPr>
      <w:fldChar w:fldCharType="begin"/>
    </w:r>
    <w:r w:rsidRPr="008E6250">
      <w:rPr>
        <w:sz w:val="18"/>
        <w:szCs w:val="18"/>
      </w:rPr>
      <w:instrText xml:space="preserve"> PAGE   \* MERGEFORMAT </w:instrText>
    </w:r>
    <w:r w:rsidRPr="008E6250">
      <w:rPr>
        <w:sz w:val="18"/>
        <w:szCs w:val="18"/>
      </w:rPr>
      <w:fldChar w:fldCharType="separate"/>
    </w:r>
    <w:r w:rsidR="009570F5" w:rsidRPr="009570F5">
      <w:rPr>
        <w:b/>
        <w:bCs/>
        <w:noProof/>
        <w:sz w:val="18"/>
        <w:szCs w:val="18"/>
      </w:rPr>
      <w:t>6</w:t>
    </w:r>
    <w:r w:rsidRPr="008E6250">
      <w:rPr>
        <w:b/>
        <w:bCs/>
        <w:noProof/>
        <w:sz w:val="18"/>
        <w:szCs w:val="18"/>
      </w:rPr>
      <w:fldChar w:fldCharType="end"/>
    </w:r>
  </w:p>
  <w:p w:rsidR="00A5141D" w:rsidRPr="00A5141D" w:rsidRDefault="00A5141D" w:rsidP="00A51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651" w:rsidRDefault="000B1651">
      <w:r>
        <w:separator/>
      </w:r>
    </w:p>
  </w:footnote>
  <w:footnote w:type="continuationSeparator" w:id="0">
    <w:p w:rsidR="000B1651" w:rsidRDefault="000B1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868" w:rsidRDefault="005718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1A9" w:rsidRPr="004D21A9" w:rsidRDefault="00A5141D" w:rsidP="00A5141D">
    <w:pPr>
      <w:pStyle w:val="Header"/>
      <w:tabs>
        <w:tab w:val="clear" w:pos="4320"/>
        <w:tab w:val="clear" w:pos="8640"/>
      </w:tabs>
      <w:jc w:val="center"/>
      <w:rPr>
        <w:rFonts w:ascii="Arial" w:hAnsi="Arial" w:cs="Arial"/>
        <w:sz w:val="16"/>
        <w:szCs w:val="16"/>
      </w:rPr>
    </w:pPr>
    <w:r w:rsidRPr="00A5141D">
      <w:rPr>
        <w:rFonts w:ascii="Arial" w:hAnsi="Arial" w:cs="Arial"/>
        <w:sz w:val="16"/>
        <w:szCs w:val="16"/>
      </w:rPr>
      <w:t>Technical Review Board (TRB) Report</w:t>
    </w:r>
    <w:r>
      <w:rPr>
        <w:rFonts w:ascii="Arial" w:hAnsi="Arial" w:cs="Arial"/>
        <w:sz w:val="16"/>
        <w:szCs w:val="16"/>
      </w:rPr>
      <w:t>: -</w:t>
    </w:r>
    <w:r w:rsidRPr="004D21A9">
      <w:rPr>
        <w:rFonts w:ascii="Arial" w:hAnsi="Arial" w:cs="Arial"/>
        <w:sz w:val="16"/>
        <w:szCs w:val="16"/>
      </w:rPr>
      <w:t xml:space="preserve"> </w:t>
    </w:r>
    <w:r w:rsidR="004D21A9" w:rsidRPr="004D21A9">
      <w:rPr>
        <w:rFonts w:ascii="Arial" w:hAnsi="Arial" w:cs="Arial"/>
        <w:sz w:val="16"/>
        <w:szCs w:val="16"/>
      </w:rPr>
      <w:t>Recommendation and options for going forward related to the discrepancy between COC &amp; SUS plans to make a single version of the quad ITM suspensions and the optical layout which calls for a left and right handed version of the ITM suspensions.</w:t>
    </w:r>
  </w:p>
  <w:p w:rsidR="007679D8" w:rsidRPr="004C35A6" w:rsidRDefault="007679D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868" w:rsidRDefault="005718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571EE"/>
    <w:multiLevelType w:val="hybridMultilevel"/>
    <w:tmpl w:val="FE22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A64EB"/>
    <w:multiLevelType w:val="hybridMultilevel"/>
    <w:tmpl w:val="C6149D4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267DE"/>
    <w:multiLevelType w:val="hybridMultilevel"/>
    <w:tmpl w:val="3524F5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F6E75"/>
    <w:multiLevelType w:val="hybridMultilevel"/>
    <w:tmpl w:val="502AD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A0DA4"/>
    <w:multiLevelType w:val="hybridMultilevel"/>
    <w:tmpl w:val="EB2CB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5010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E62F91"/>
    <w:multiLevelType w:val="hybridMultilevel"/>
    <w:tmpl w:val="C5C8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0070D2"/>
    <w:multiLevelType w:val="hybridMultilevel"/>
    <w:tmpl w:val="1FB49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4342F4"/>
    <w:multiLevelType w:val="hybridMultilevel"/>
    <w:tmpl w:val="3524F5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7D7EBE"/>
    <w:multiLevelType w:val="hybridMultilevel"/>
    <w:tmpl w:val="462C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4C4A2D"/>
    <w:multiLevelType w:val="hybridMultilevel"/>
    <w:tmpl w:val="C32E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5A6CF1"/>
    <w:multiLevelType w:val="hybridMultilevel"/>
    <w:tmpl w:val="4B882E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100A08"/>
    <w:multiLevelType w:val="hybridMultilevel"/>
    <w:tmpl w:val="269A3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467326"/>
    <w:multiLevelType w:val="hybridMultilevel"/>
    <w:tmpl w:val="1FB49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D87C22"/>
    <w:multiLevelType w:val="hybridMultilevel"/>
    <w:tmpl w:val="D9C2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D451E8"/>
    <w:multiLevelType w:val="hybridMultilevel"/>
    <w:tmpl w:val="E00CC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2A21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AE1693E"/>
    <w:multiLevelType w:val="hybridMultilevel"/>
    <w:tmpl w:val="3524F5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F304D6"/>
    <w:multiLevelType w:val="hybridMultilevel"/>
    <w:tmpl w:val="8C70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3"/>
  </w:num>
  <w:num w:numId="4">
    <w:abstractNumId w:val="10"/>
  </w:num>
  <w:num w:numId="5">
    <w:abstractNumId w:val="18"/>
  </w:num>
  <w:num w:numId="6">
    <w:abstractNumId w:val="0"/>
  </w:num>
  <w:num w:numId="7">
    <w:abstractNumId w:val="9"/>
  </w:num>
  <w:num w:numId="8">
    <w:abstractNumId w:val="14"/>
  </w:num>
  <w:num w:numId="9">
    <w:abstractNumId w:val="2"/>
  </w:num>
  <w:num w:numId="10">
    <w:abstractNumId w:val="17"/>
  </w:num>
  <w:num w:numId="11">
    <w:abstractNumId w:val="8"/>
  </w:num>
  <w:num w:numId="12">
    <w:abstractNumId w:val="4"/>
  </w:num>
  <w:num w:numId="13">
    <w:abstractNumId w:val="1"/>
  </w:num>
  <w:num w:numId="14">
    <w:abstractNumId w:val="11"/>
  </w:num>
  <w:num w:numId="15">
    <w:abstractNumId w:val="15"/>
  </w:num>
  <w:num w:numId="16">
    <w:abstractNumId w:val="5"/>
  </w:num>
  <w:num w:numId="17">
    <w:abstractNumId w:val="6"/>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D8"/>
    <w:rsid w:val="00006983"/>
    <w:rsid w:val="00042FB6"/>
    <w:rsid w:val="00057905"/>
    <w:rsid w:val="00063DCF"/>
    <w:rsid w:val="00077BAE"/>
    <w:rsid w:val="00096C3A"/>
    <w:rsid w:val="000B1651"/>
    <w:rsid w:val="000B2FB5"/>
    <w:rsid w:val="000D580D"/>
    <w:rsid w:val="000D7B47"/>
    <w:rsid w:val="00111576"/>
    <w:rsid w:val="00133410"/>
    <w:rsid w:val="00145AB9"/>
    <w:rsid w:val="00154EBE"/>
    <w:rsid w:val="00155951"/>
    <w:rsid w:val="001732E3"/>
    <w:rsid w:val="00186CAA"/>
    <w:rsid w:val="001A1B91"/>
    <w:rsid w:val="001C0BE0"/>
    <w:rsid w:val="001E33D9"/>
    <w:rsid w:val="001E7F12"/>
    <w:rsid w:val="001F3EA4"/>
    <w:rsid w:val="001F60C6"/>
    <w:rsid w:val="0021226C"/>
    <w:rsid w:val="00220BAE"/>
    <w:rsid w:val="00223B91"/>
    <w:rsid w:val="002244B2"/>
    <w:rsid w:val="00263CDC"/>
    <w:rsid w:val="002968A5"/>
    <w:rsid w:val="002A4207"/>
    <w:rsid w:val="002B479A"/>
    <w:rsid w:val="002E7C65"/>
    <w:rsid w:val="00303519"/>
    <w:rsid w:val="0033462A"/>
    <w:rsid w:val="0034778D"/>
    <w:rsid w:val="0037033D"/>
    <w:rsid w:val="00373EA9"/>
    <w:rsid w:val="00394091"/>
    <w:rsid w:val="00395F34"/>
    <w:rsid w:val="003C2366"/>
    <w:rsid w:val="003C39D0"/>
    <w:rsid w:val="003D791A"/>
    <w:rsid w:val="00411030"/>
    <w:rsid w:val="004358B2"/>
    <w:rsid w:val="004371E8"/>
    <w:rsid w:val="00466BC3"/>
    <w:rsid w:val="00472CFC"/>
    <w:rsid w:val="004B517C"/>
    <w:rsid w:val="004C35A6"/>
    <w:rsid w:val="004D21A9"/>
    <w:rsid w:val="004E550E"/>
    <w:rsid w:val="0050344F"/>
    <w:rsid w:val="005639D5"/>
    <w:rsid w:val="005712FA"/>
    <w:rsid w:val="00571868"/>
    <w:rsid w:val="005A5C46"/>
    <w:rsid w:val="005D3056"/>
    <w:rsid w:val="005D5278"/>
    <w:rsid w:val="00604053"/>
    <w:rsid w:val="006527A4"/>
    <w:rsid w:val="00654041"/>
    <w:rsid w:val="006B178C"/>
    <w:rsid w:val="006B1920"/>
    <w:rsid w:val="006F7D19"/>
    <w:rsid w:val="00741740"/>
    <w:rsid w:val="00766E7A"/>
    <w:rsid w:val="007679D8"/>
    <w:rsid w:val="007770E4"/>
    <w:rsid w:val="007806AF"/>
    <w:rsid w:val="00781882"/>
    <w:rsid w:val="00787461"/>
    <w:rsid w:val="00792E84"/>
    <w:rsid w:val="0079332F"/>
    <w:rsid w:val="00795D6C"/>
    <w:rsid w:val="007F172C"/>
    <w:rsid w:val="008034BB"/>
    <w:rsid w:val="00820FE6"/>
    <w:rsid w:val="00821FDF"/>
    <w:rsid w:val="008241CB"/>
    <w:rsid w:val="00824E58"/>
    <w:rsid w:val="00841CDA"/>
    <w:rsid w:val="00860BFC"/>
    <w:rsid w:val="0087517C"/>
    <w:rsid w:val="008754C1"/>
    <w:rsid w:val="008B4CA7"/>
    <w:rsid w:val="008B7DCE"/>
    <w:rsid w:val="008C2F6A"/>
    <w:rsid w:val="008C3096"/>
    <w:rsid w:val="008C48B8"/>
    <w:rsid w:val="008E05EA"/>
    <w:rsid w:val="008E0908"/>
    <w:rsid w:val="008E6250"/>
    <w:rsid w:val="008F0F0C"/>
    <w:rsid w:val="008F6B21"/>
    <w:rsid w:val="00915E2C"/>
    <w:rsid w:val="00931867"/>
    <w:rsid w:val="009373C7"/>
    <w:rsid w:val="00944022"/>
    <w:rsid w:val="00945849"/>
    <w:rsid w:val="009570F5"/>
    <w:rsid w:val="00980B96"/>
    <w:rsid w:val="009876D2"/>
    <w:rsid w:val="0099442F"/>
    <w:rsid w:val="00995E7C"/>
    <w:rsid w:val="009C6FAC"/>
    <w:rsid w:val="009D3757"/>
    <w:rsid w:val="009F6F3C"/>
    <w:rsid w:val="00A06EC5"/>
    <w:rsid w:val="00A5141D"/>
    <w:rsid w:val="00A56718"/>
    <w:rsid w:val="00AA29DC"/>
    <w:rsid w:val="00AB0355"/>
    <w:rsid w:val="00AC28A9"/>
    <w:rsid w:val="00AD09E5"/>
    <w:rsid w:val="00AD6E5F"/>
    <w:rsid w:val="00AE67BB"/>
    <w:rsid w:val="00B36808"/>
    <w:rsid w:val="00B5460B"/>
    <w:rsid w:val="00B5781C"/>
    <w:rsid w:val="00B93C6A"/>
    <w:rsid w:val="00BF6728"/>
    <w:rsid w:val="00C00B86"/>
    <w:rsid w:val="00C33F4A"/>
    <w:rsid w:val="00C67FBF"/>
    <w:rsid w:val="00C9573C"/>
    <w:rsid w:val="00CA15CD"/>
    <w:rsid w:val="00CA22EC"/>
    <w:rsid w:val="00D21CF5"/>
    <w:rsid w:val="00D24BC6"/>
    <w:rsid w:val="00D27313"/>
    <w:rsid w:val="00D31BE0"/>
    <w:rsid w:val="00D53A0F"/>
    <w:rsid w:val="00D808F8"/>
    <w:rsid w:val="00D961DE"/>
    <w:rsid w:val="00DA4A3F"/>
    <w:rsid w:val="00DB0D0C"/>
    <w:rsid w:val="00DC5E19"/>
    <w:rsid w:val="00DE72BD"/>
    <w:rsid w:val="00E07C54"/>
    <w:rsid w:val="00E25CBF"/>
    <w:rsid w:val="00EC4E46"/>
    <w:rsid w:val="00EC5F7A"/>
    <w:rsid w:val="00EC6EA8"/>
    <w:rsid w:val="00EE784F"/>
    <w:rsid w:val="00EF1BC6"/>
    <w:rsid w:val="00F02E2D"/>
    <w:rsid w:val="00F07999"/>
    <w:rsid w:val="00F127D2"/>
    <w:rsid w:val="00F17162"/>
    <w:rsid w:val="00F20019"/>
    <w:rsid w:val="00F407B0"/>
    <w:rsid w:val="00F92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3418F6-E138-4E26-BB93-7C175134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EC4E46"/>
    <w:pPr>
      <w:ind w:left="720"/>
      <w:contextualSpacing/>
    </w:pPr>
  </w:style>
  <w:style w:type="paragraph" w:styleId="FootnoteText">
    <w:name w:val="footnote text"/>
    <w:basedOn w:val="Normal"/>
    <w:link w:val="FootnoteTextChar"/>
    <w:rsid w:val="000D7B47"/>
    <w:rPr>
      <w:sz w:val="20"/>
      <w:szCs w:val="20"/>
    </w:rPr>
  </w:style>
  <w:style w:type="character" w:customStyle="1" w:styleId="FootnoteTextChar">
    <w:name w:val="Footnote Text Char"/>
    <w:basedOn w:val="DefaultParagraphFont"/>
    <w:link w:val="FootnoteText"/>
    <w:rsid w:val="000D7B47"/>
  </w:style>
  <w:style w:type="character" w:styleId="FootnoteReference">
    <w:name w:val="footnote reference"/>
    <w:basedOn w:val="DefaultParagraphFont"/>
    <w:rsid w:val="000D7B47"/>
    <w:rPr>
      <w:vertAlign w:val="superscript"/>
    </w:rPr>
  </w:style>
  <w:style w:type="character" w:customStyle="1" w:styleId="FooterChar">
    <w:name w:val="Footer Char"/>
    <w:basedOn w:val="DefaultParagraphFont"/>
    <w:link w:val="Footer"/>
    <w:uiPriority w:val="99"/>
    <w:rsid w:val="008E6250"/>
    <w:rPr>
      <w:sz w:val="24"/>
      <w:szCs w:val="24"/>
    </w:rPr>
  </w:style>
  <w:style w:type="paragraph" w:styleId="BalloonText">
    <w:name w:val="Balloon Text"/>
    <w:basedOn w:val="Normal"/>
    <w:link w:val="BalloonTextChar"/>
    <w:rsid w:val="00DC5E19"/>
    <w:rPr>
      <w:rFonts w:ascii="Tahoma" w:hAnsi="Tahoma" w:cs="Tahoma"/>
      <w:sz w:val="16"/>
      <w:szCs w:val="16"/>
    </w:rPr>
  </w:style>
  <w:style w:type="character" w:customStyle="1" w:styleId="BalloonTextChar">
    <w:name w:val="Balloon Text Char"/>
    <w:basedOn w:val="DefaultParagraphFont"/>
    <w:link w:val="BalloonText"/>
    <w:rsid w:val="00DC5E19"/>
    <w:rPr>
      <w:rFonts w:ascii="Tahoma" w:hAnsi="Tahoma" w:cs="Tahoma"/>
      <w:sz w:val="16"/>
      <w:szCs w:val="16"/>
    </w:rPr>
  </w:style>
  <w:style w:type="paragraph" w:customStyle="1" w:styleId="Default">
    <w:name w:val="Default"/>
    <w:rsid w:val="00AD09E5"/>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AD09E5"/>
    <w:rPr>
      <w:color w:val="0000FF"/>
      <w:u w:val="single"/>
    </w:rPr>
  </w:style>
  <w:style w:type="paragraph" w:styleId="HTMLPreformatted">
    <w:name w:val="HTML Preformatted"/>
    <w:basedOn w:val="Normal"/>
    <w:link w:val="HTMLPreformattedChar"/>
    <w:uiPriority w:val="99"/>
    <w:unhideWhenUsed/>
    <w:rsid w:val="00AD6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D6E5F"/>
    <w:rPr>
      <w:rFonts w:ascii="Courier New" w:hAnsi="Courier New" w:cs="Courier New"/>
    </w:rPr>
  </w:style>
  <w:style w:type="character" w:styleId="Strong">
    <w:name w:val="Strong"/>
    <w:basedOn w:val="DefaultParagraphFont"/>
    <w:qFormat/>
    <w:rsid w:val="001A1B91"/>
    <w:rPr>
      <w:b/>
      <w:bCs/>
    </w:rPr>
  </w:style>
  <w:style w:type="table" w:styleId="TableGrid">
    <w:name w:val="Table Grid"/>
    <w:basedOn w:val="TableNormal"/>
    <w:rsid w:val="00DA4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08850">
      <w:bodyDiv w:val="1"/>
      <w:marLeft w:val="0"/>
      <w:marRight w:val="0"/>
      <w:marTop w:val="0"/>
      <w:marBottom w:val="0"/>
      <w:divBdr>
        <w:top w:val="none" w:sz="0" w:space="0" w:color="auto"/>
        <w:left w:val="none" w:sz="0" w:space="0" w:color="auto"/>
        <w:bottom w:val="none" w:sz="0" w:space="0" w:color="auto"/>
        <w:right w:val="none" w:sz="0" w:space="0" w:color="auto"/>
      </w:divBdr>
    </w:div>
    <w:div w:id="459764468">
      <w:bodyDiv w:val="1"/>
      <w:marLeft w:val="0"/>
      <w:marRight w:val="0"/>
      <w:marTop w:val="0"/>
      <w:marBottom w:val="0"/>
      <w:divBdr>
        <w:top w:val="none" w:sz="0" w:space="0" w:color="auto"/>
        <w:left w:val="none" w:sz="0" w:space="0" w:color="auto"/>
        <w:bottom w:val="none" w:sz="0" w:space="0" w:color="auto"/>
        <w:right w:val="none" w:sz="0" w:space="0" w:color="auto"/>
      </w:divBdr>
    </w:div>
    <w:div w:id="575167380">
      <w:bodyDiv w:val="1"/>
      <w:marLeft w:val="0"/>
      <w:marRight w:val="0"/>
      <w:marTop w:val="0"/>
      <w:marBottom w:val="0"/>
      <w:divBdr>
        <w:top w:val="none" w:sz="0" w:space="0" w:color="auto"/>
        <w:left w:val="none" w:sz="0" w:space="0" w:color="auto"/>
        <w:bottom w:val="none" w:sz="0" w:space="0" w:color="auto"/>
        <w:right w:val="none" w:sz="0" w:space="0" w:color="auto"/>
      </w:divBdr>
    </w:div>
    <w:div w:id="189550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cc.ligo.org/cgi-bin/private/DocDB/ShowDocument?docid=9731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dcc.ligo.org/cgi-bin/private/DocDB/ShowDocument?docid=9755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cgi-bin/private/DocDB/ShowDocument?docid=9764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cc.ligo.org/cgi-bin/private/DocDB/ShowDocument?docid=1273" TargetMode="External"/><Relationship Id="rId23" Type="http://schemas.openxmlformats.org/officeDocument/2006/relationships/fontTable" Target="fontTable.xml"/><Relationship Id="rId10" Type="http://schemas.openxmlformats.org/officeDocument/2006/relationships/hyperlink" Target="https://dcc.ligo.org/LIGO-L120029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dcc.ligo.org/cgi-bin/private/DocDB/ShowDocument?docid=30582"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5F24C-321A-4A65-8329-72DD82E8C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2284</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caltech</Company>
  <LinksUpToDate>false</LinksUpToDate>
  <CharactersWithSpaces>15273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 Wood</dc:creator>
  <cp:lastModifiedBy>Calum Torrie</cp:lastModifiedBy>
  <cp:revision>6</cp:revision>
  <cp:lastPrinted>2012-10-26T15:01:00Z</cp:lastPrinted>
  <dcterms:created xsi:type="dcterms:W3CDTF">2012-10-29T15:38:00Z</dcterms:created>
  <dcterms:modified xsi:type="dcterms:W3CDTF">2014-04-23T21:53:00Z</dcterms:modified>
</cp:coreProperties>
</file>