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FF650" w14:textId="77777777" w:rsidR="0087517C" w:rsidRDefault="00B93C6A" w:rsidP="0063053D">
      <w:r>
        <w:rPr>
          <w:noProof/>
        </w:rPr>
        <mc:AlternateContent>
          <mc:Choice Requires="wps">
            <w:drawing>
              <wp:anchor distT="0" distB="0" distL="114300" distR="114300" simplePos="0" relativeHeight="251658240" behindDoc="0" locked="0" layoutInCell="1" allowOverlap="1" wp14:anchorId="408B7D6A" wp14:editId="27035B6B">
                <wp:simplePos x="0" y="0"/>
                <wp:positionH relativeFrom="column">
                  <wp:posOffset>571500</wp:posOffset>
                </wp:positionH>
                <wp:positionV relativeFrom="paragraph">
                  <wp:posOffset>-906780</wp:posOffset>
                </wp:positionV>
                <wp:extent cx="1927860" cy="110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104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817668C" w14:textId="77777777" w:rsidR="004B7B3B" w:rsidRPr="00ED6F42" w:rsidRDefault="004B7B3B" w:rsidP="0063053D">
                            <w:pPr>
                              <w:rPr>
                                <w:b/>
                              </w:rPr>
                            </w:pPr>
                            <w:r w:rsidRPr="00ED6F42">
                              <w:rPr>
                                <w:b/>
                              </w:rPr>
                              <w:t>LIGO LABORATORY</w:t>
                            </w:r>
                          </w:p>
                          <w:p w14:paraId="34C5EFD0" w14:textId="77777777" w:rsidR="004B7B3B" w:rsidRDefault="004B7B3B" w:rsidP="0063053D">
                            <w:r>
                              <w:t>MS 100-36</w:t>
                            </w:r>
                          </w:p>
                          <w:p w14:paraId="288DDF26" w14:textId="77777777" w:rsidR="004B7B3B" w:rsidRDefault="004B7B3B" w:rsidP="0063053D">
                            <w:proofErr w:type="gramStart"/>
                            <w:r>
                              <w:t>PASADENA  CA</w:t>
                            </w:r>
                            <w:proofErr w:type="gramEnd"/>
                            <w:r>
                              <w:t xml:space="preserve">  91125</w:t>
                            </w:r>
                          </w:p>
                          <w:p w14:paraId="65B66D73" w14:textId="77777777" w:rsidR="004B7B3B" w:rsidRDefault="004B7B3B" w:rsidP="0063053D"/>
                          <w:p w14:paraId="2291BAE8" w14:textId="77777777" w:rsidR="004B7B3B" w:rsidRDefault="004B7B3B" w:rsidP="0063053D">
                            <w:r>
                              <w:t xml:space="preserve">TEL: </w:t>
                            </w:r>
                            <w:r>
                              <w:tab/>
                              <w:t>626.395.2129</w:t>
                            </w:r>
                          </w:p>
                          <w:p w14:paraId="4BBC1FDC" w14:textId="77777777" w:rsidR="004B7B3B" w:rsidRDefault="004B7B3B" w:rsidP="0063053D">
                            <w:pPr>
                              <w:rPr>
                                <w:sz w:val="16"/>
                              </w:rPr>
                            </w:pPr>
                            <w:r>
                              <w:t xml:space="preserve">FAX: </w:t>
                            </w:r>
                            <w:r>
                              <w:tab/>
                              <w:t>626.304.9834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B7D6A" id="_x0000_t202" coordsize="21600,21600" o:spt="202" path="m,l,21600r21600,l21600,xe">
                <v:stroke joinstyle="miter"/>
                <v:path gradientshapeok="t" o:connecttype="rect"/>
              </v:shapetype>
              <v:shape id="Text Box 3" o:spid="_x0000_s1026" type="#_x0000_t202" style="position:absolute;left:0;text-align:left;margin-left:45pt;margin-top:-71.4pt;width:151.8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" stroked="f" strokeweight="0">
                <v:textbox>
                  <w:txbxContent>
                    <w:p w14:paraId="7817668C" w14:textId="77777777" w:rsidR="004B7B3B" w:rsidRPr="00ED6F42" w:rsidRDefault="004B7B3B" w:rsidP="0063053D">
                      <w:pPr>
                        <w:rPr>
                          <w:b/>
                        </w:rPr>
                      </w:pPr>
                      <w:r w:rsidRPr="00ED6F42">
                        <w:rPr>
                          <w:b/>
                        </w:rPr>
                        <w:t>LIGO LABORATORY</w:t>
                      </w:r>
                    </w:p>
                    <w:p w14:paraId="34C5EFD0" w14:textId="77777777" w:rsidR="004B7B3B" w:rsidRDefault="004B7B3B" w:rsidP="0063053D">
                      <w:r>
                        <w:t>MS 100-36</w:t>
                      </w:r>
                    </w:p>
                    <w:p w14:paraId="288DDF26" w14:textId="77777777" w:rsidR="004B7B3B" w:rsidRDefault="004B7B3B" w:rsidP="0063053D">
                      <w:proofErr w:type="gramStart"/>
                      <w:r>
                        <w:t>PASADENA  CA</w:t>
                      </w:r>
                      <w:proofErr w:type="gramEnd"/>
                      <w:r>
                        <w:t xml:space="preserve">  91125</w:t>
                      </w:r>
                    </w:p>
                    <w:p w14:paraId="65B66D73" w14:textId="77777777" w:rsidR="004B7B3B" w:rsidRDefault="004B7B3B" w:rsidP="0063053D"/>
                    <w:p w14:paraId="2291BAE8" w14:textId="77777777" w:rsidR="004B7B3B" w:rsidRDefault="004B7B3B" w:rsidP="0063053D">
                      <w:r>
                        <w:t xml:space="preserve">TEL: </w:t>
                      </w:r>
                      <w:r>
                        <w:tab/>
                        <w:t>626.395.2129</w:t>
                      </w:r>
                    </w:p>
                    <w:p w14:paraId="4BBC1FDC" w14:textId="77777777" w:rsidR="004B7B3B" w:rsidRDefault="004B7B3B" w:rsidP="0063053D">
                      <w:pPr>
                        <w:rPr>
                          <w:sz w:val="16"/>
                        </w:rPr>
                      </w:pPr>
                      <w:r>
                        <w:t xml:space="preserve">FAX: </w:t>
                      </w:r>
                      <w:r>
                        <w:tab/>
                        <w:t>626.304.9834</w:t>
                      </w:r>
                    </w:p>
                  </w:txbxContent>
                </v:textbox>
              </v:shape>
            </w:pict>
          </mc:Fallback>
        </mc:AlternateContent>
      </w:r>
      <w:r w:rsidR="00E75EB8">
        <w:rPr>
          <w:noProof/>
        </w:rPr>
        <w:pict w14:anchorId="2382E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1in;width:111.6pt;height:81.5pt;z-index:251657216;mso-position-horizontal-relative:text;mso-position-vertical-relative:text" o:allowincell="f" fillcolor="#d49fff" strokecolor="#114ffb" strokeweight="1pt">
            <v:stroke startarrowwidth="narrow" startarrowlength="short" endarrowwidth="narrow" endarrowlength="short"/>
            <v:imagedata r:id="rId8" o:title=""/>
            <v:shadow color="#cecece"/>
            <w10:wrap type="topAndBottom"/>
          </v:shape>
        </w:pict>
      </w:r>
    </w:p>
    <w:p w14:paraId="1B39161C" w14:textId="77777777" w:rsidR="0087517C" w:rsidRPr="00467EEC" w:rsidRDefault="0087517C" w:rsidP="0063053D">
      <w:pPr>
        <w:pStyle w:val="Header"/>
        <w:rPr>
          <w:b/>
          <w:u w:val="single"/>
        </w:rPr>
      </w:pPr>
      <w:r w:rsidRPr="00467EEC">
        <w:rPr>
          <w:b/>
          <w:u w:val="single"/>
        </w:rPr>
        <w:t>MEMORANDUM</w:t>
      </w:r>
    </w:p>
    <w:p w14:paraId="7811E8BD" w14:textId="77777777" w:rsidR="0087517C" w:rsidRDefault="0087517C" w:rsidP="0063053D"/>
    <w:p w14:paraId="327FF8ED" w14:textId="6B6795B1" w:rsidR="0087517C" w:rsidRDefault="0087517C" w:rsidP="0063053D">
      <w:r>
        <w:t>DATE:</w:t>
      </w:r>
      <w:r>
        <w:tab/>
      </w:r>
      <w:r>
        <w:tab/>
      </w:r>
      <w:r w:rsidR="001644C5">
        <w:t>6</w:t>
      </w:r>
      <w:r w:rsidR="002506D2">
        <w:t xml:space="preserve"> </w:t>
      </w:r>
      <w:proofErr w:type="gramStart"/>
      <w:r w:rsidR="002A3708">
        <w:t xml:space="preserve">June </w:t>
      </w:r>
      <w:r w:rsidR="001644C5">
        <w:t xml:space="preserve"> 2014</w:t>
      </w:r>
      <w:proofErr w:type="gramEnd"/>
    </w:p>
    <w:p w14:paraId="4BB003CD" w14:textId="77777777" w:rsidR="0087517C" w:rsidRDefault="0087517C" w:rsidP="0063053D"/>
    <w:tbl>
      <w:tblPr>
        <w:tblW w:w="0" w:type="auto"/>
        <w:tblLook w:val="0000" w:firstRow="0" w:lastRow="0" w:firstColumn="0" w:lastColumn="0" w:noHBand="0" w:noVBand="0"/>
      </w:tblPr>
      <w:tblGrid>
        <w:gridCol w:w="1377"/>
        <w:gridCol w:w="8199"/>
      </w:tblGrid>
      <w:tr w:rsidR="0087517C" w14:paraId="3A37DA96" w14:textId="77777777">
        <w:tc>
          <w:tcPr>
            <w:tcW w:w="1377" w:type="dxa"/>
          </w:tcPr>
          <w:p w14:paraId="35F9431A" w14:textId="10E81F3A" w:rsidR="002A3708" w:rsidRDefault="0087517C" w:rsidP="0063053D">
            <w:pPr>
              <w:pStyle w:val="Header"/>
            </w:pPr>
            <w:r>
              <w:t>TO:</w:t>
            </w:r>
          </w:p>
          <w:p w14:paraId="3A8EBC92" w14:textId="369003C7" w:rsidR="002A3708" w:rsidRDefault="002A3708" w:rsidP="0063053D">
            <w:pPr>
              <w:pStyle w:val="Header"/>
            </w:pPr>
            <w:r>
              <w:t>CC:</w:t>
            </w:r>
          </w:p>
        </w:tc>
        <w:tc>
          <w:tcPr>
            <w:tcW w:w="8199" w:type="dxa"/>
          </w:tcPr>
          <w:p w14:paraId="7A4AD1FC" w14:textId="3402B063" w:rsidR="00E16B5A" w:rsidRDefault="00DE45E9" w:rsidP="002A3708">
            <w:pPr>
              <w:pStyle w:val="Header"/>
            </w:pPr>
            <w:proofErr w:type="spellStart"/>
            <w:r>
              <w:t>aLIG</w:t>
            </w:r>
            <w:r w:rsidR="00D67AB7">
              <w:t>O</w:t>
            </w:r>
            <w:proofErr w:type="spellEnd"/>
            <w:r w:rsidR="00D67AB7">
              <w:t xml:space="preserve"> </w:t>
            </w:r>
            <w:r w:rsidR="002A3708">
              <w:t>Contamination Control Working Group</w:t>
            </w:r>
          </w:p>
          <w:p w14:paraId="10E4F280" w14:textId="0511A4B3" w:rsidR="002A3708" w:rsidRDefault="00E75EB8" w:rsidP="002A3708">
            <w:pPr>
              <w:pStyle w:val="Header"/>
            </w:pPr>
            <w:hyperlink r:id="rId9" w:history="1">
              <w:r w:rsidR="002A3708" w:rsidRPr="00B05DD5">
                <w:rPr>
                  <w:rStyle w:val="Hyperlink"/>
                </w:rPr>
                <w:t>aligo_sys@ligo.caltech.edu</w:t>
              </w:r>
            </w:hyperlink>
          </w:p>
        </w:tc>
      </w:tr>
      <w:tr w:rsidR="0087517C" w14:paraId="6ACE9F05" w14:textId="77777777">
        <w:tc>
          <w:tcPr>
            <w:tcW w:w="1377" w:type="dxa"/>
          </w:tcPr>
          <w:p w14:paraId="0BC98E47" w14:textId="77777777" w:rsidR="0087517C" w:rsidRDefault="0087517C" w:rsidP="0063053D">
            <w:pPr>
              <w:pStyle w:val="Header"/>
            </w:pPr>
            <w:r>
              <w:t>FROM:</w:t>
            </w:r>
          </w:p>
        </w:tc>
        <w:tc>
          <w:tcPr>
            <w:tcW w:w="8199" w:type="dxa"/>
          </w:tcPr>
          <w:p w14:paraId="4E63EED7" w14:textId="5675D87A" w:rsidR="0087517C" w:rsidRDefault="007E1B9A" w:rsidP="0063053D">
            <w:pPr>
              <w:pStyle w:val="Header"/>
            </w:pPr>
            <w:r>
              <w:t>Dennis Coyne</w:t>
            </w:r>
          </w:p>
        </w:tc>
      </w:tr>
      <w:tr w:rsidR="0087517C" w14:paraId="22B73186" w14:textId="77777777" w:rsidTr="008108A4">
        <w:tc>
          <w:tcPr>
            <w:tcW w:w="1377" w:type="dxa"/>
          </w:tcPr>
          <w:p w14:paraId="13B778C2" w14:textId="77777777" w:rsidR="0087517C" w:rsidRDefault="0087517C" w:rsidP="0063053D">
            <w:pPr>
              <w:pStyle w:val="Header"/>
            </w:pPr>
            <w:r>
              <w:t>SUBJECT:</w:t>
            </w:r>
          </w:p>
        </w:tc>
        <w:tc>
          <w:tcPr>
            <w:tcW w:w="8199" w:type="dxa"/>
            <w:shd w:val="clear" w:color="auto" w:fill="DBE5F1" w:themeFill="accent1" w:themeFillTint="33"/>
          </w:tcPr>
          <w:p w14:paraId="00A05A5C" w14:textId="523CD52A" w:rsidR="0087517C" w:rsidRPr="008108A4" w:rsidRDefault="002A3708" w:rsidP="002E484B">
            <w:pPr>
              <w:pStyle w:val="Header"/>
              <w:rPr>
                <w:b/>
              </w:rPr>
            </w:pPr>
            <w:r>
              <w:rPr>
                <w:b/>
              </w:rPr>
              <w:t xml:space="preserve">Particulate Contamination </w:t>
            </w:r>
            <w:r w:rsidR="002E484B">
              <w:rPr>
                <w:b/>
              </w:rPr>
              <w:t>Requirements</w:t>
            </w:r>
          </w:p>
        </w:tc>
      </w:tr>
      <w:tr w:rsidR="0087517C" w14:paraId="051F094E" w14:textId="77777777">
        <w:tc>
          <w:tcPr>
            <w:tcW w:w="1377" w:type="dxa"/>
          </w:tcPr>
          <w:p w14:paraId="68F39AB3" w14:textId="77777777" w:rsidR="0087517C" w:rsidRDefault="0087517C" w:rsidP="0063053D">
            <w:pPr>
              <w:pStyle w:val="Header"/>
            </w:pPr>
            <w:r>
              <w:t>Refer to:</w:t>
            </w:r>
          </w:p>
        </w:tc>
        <w:tc>
          <w:tcPr>
            <w:tcW w:w="8199" w:type="dxa"/>
          </w:tcPr>
          <w:p w14:paraId="6482B322" w14:textId="2DACC896" w:rsidR="0087517C" w:rsidRDefault="0087517C" w:rsidP="002E484B">
            <w:pPr>
              <w:pStyle w:val="Header"/>
            </w:pPr>
            <w:r>
              <w:t>LIGO-</w:t>
            </w:r>
            <w:r w:rsidR="002A3708">
              <w:t>T1300</w:t>
            </w:r>
            <w:r w:rsidR="002E484B">
              <w:t>511</w:t>
            </w:r>
            <w:r w:rsidR="001644C5">
              <w:t>-v2</w:t>
            </w:r>
          </w:p>
        </w:tc>
      </w:tr>
    </w:tbl>
    <w:p w14:paraId="72B91762" w14:textId="77777777" w:rsidR="00DE45E9" w:rsidRDefault="00DE45E9" w:rsidP="0063053D">
      <w:pPr>
        <w:pStyle w:val="Header"/>
      </w:pPr>
    </w:p>
    <w:sdt>
      <w:sdtPr>
        <w:rPr>
          <w:rFonts w:ascii="Arial" w:eastAsia="Times New Roman" w:hAnsi="Arial" w:cs="Times New Roman"/>
          <w:color w:val="auto"/>
          <w:sz w:val="24"/>
          <w:szCs w:val="24"/>
        </w:rPr>
        <w:id w:val="1649476740"/>
        <w:docPartObj>
          <w:docPartGallery w:val="Table of Contents"/>
          <w:docPartUnique/>
        </w:docPartObj>
      </w:sdtPr>
      <w:sdtEndPr>
        <w:rPr>
          <w:b/>
          <w:bCs/>
          <w:noProof/>
        </w:rPr>
      </w:sdtEndPr>
      <w:sdtContent>
        <w:p w14:paraId="77EF4D0A" w14:textId="36D4D25D" w:rsidR="008108A4" w:rsidRDefault="008108A4" w:rsidP="008108A4">
          <w:pPr>
            <w:pStyle w:val="TOCHeading"/>
            <w:shd w:val="clear" w:color="auto" w:fill="F2F2F2" w:themeFill="background1" w:themeFillShade="F2"/>
          </w:pPr>
          <w:r>
            <w:t>Contents</w:t>
          </w:r>
        </w:p>
        <w:p w14:paraId="74571621" w14:textId="77777777" w:rsidR="002E484B" w:rsidRDefault="008108A4">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8185609" w:history="1">
            <w:r w:rsidR="002E484B" w:rsidRPr="002849D6">
              <w:rPr>
                <w:rStyle w:val="Hyperlink"/>
                <w:noProof/>
              </w:rPr>
              <w:t>1</w:t>
            </w:r>
            <w:r w:rsidR="002E484B">
              <w:rPr>
                <w:rFonts w:asciiTheme="minorHAnsi" w:eastAsiaTheme="minorEastAsia" w:hAnsiTheme="minorHAnsi" w:cstheme="minorBidi"/>
                <w:noProof/>
                <w:sz w:val="22"/>
                <w:szCs w:val="22"/>
              </w:rPr>
              <w:tab/>
            </w:r>
            <w:r w:rsidR="002E484B" w:rsidRPr="002849D6">
              <w:rPr>
                <w:rStyle w:val="Hyperlink"/>
                <w:noProof/>
              </w:rPr>
              <w:t>Introduction</w:t>
            </w:r>
            <w:r w:rsidR="002E484B">
              <w:rPr>
                <w:noProof/>
                <w:webHidden/>
              </w:rPr>
              <w:tab/>
            </w:r>
            <w:r w:rsidR="002E484B">
              <w:rPr>
                <w:noProof/>
                <w:webHidden/>
              </w:rPr>
              <w:fldChar w:fldCharType="begin"/>
            </w:r>
            <w:r w:rsidR="002E484B">
              <w:rPr>
                <w:noProof/>
                <w:webHidden/>
              </w:rPr>
              <w:instrText xml:space="preserve"> PAGEREF _Toc358185609 \h </w:instrText>
            </w:r>
            <w:r w:rsidR="002E484B">
              <w:rPr>
                <w:noProof/>
                <w:webHidden/>
              </w:rPr>
            </w:r>
            <w:r w:rsidR="002E484B">
              <w:rPr>
                <w:noProof/>
                <w:webHidden/>
              </w:rPr>
              <w:fldChar w:fldCharType="separate"/>
            </w:r>
            <w:r w:rsidR="007317DF">
              <w:rPr>
                <w:noProof/>
                <w:webHidden/>
              </w:rPr>
              <w:t>1</w:t>
            </w:r>
            <w:r w:rsidR="002E484B">
              <w:rPr>
                <w:noProof/>
                <w:webHidden/>
              </w:rPr>
              <w:fldChar w:fldCharType="end"/>
            </w:r>
          </w:hyperlink>
        </w:p>
        <w:p w14:paraId="4BF8EF37" w14:textId="77777777" w:rsidR="002E484B" w:rsidRDefault="00E75EB8">
          <w:pPr>
            <w:pStyle w:val="TOC1"/>
            <w:tabs>
              <w:tab w:val="left" w:pos="440"/>
              <w:tab w:val="right" w:leader="dot" w:pos="9350"/>
            </w:tabs>
            <w:rPr>
              <w:rFonts w:asciiTheme="minorHAnsi" w:eastAsiaTheme="minorEastAsia" w:hAnsiTheme="minorHAnsi" w:cstheme="minorBidi"/>
              <w:noProof/>
              <w:sz w:val="22"/>
              <w:szCs w:val="22"/>
            </w:rPr>
          </w:pPr>
          <w:hyperlink w:anchor="_Toc358185610" w:history="1">
            <w:r w:rsidR="002E484B" w:rsidRPr="002849D6">
              <w:rPr>
                <w:rStyle w:val="Hyperlink"/>
                <w:noProof/>
              </w:rPr>
              <w:t>2</w:t>
            </w:r>
            <w:r w:rsidR="002E484B">
              <w:rPr>
                <w:rFonts w:asciiTheme="minorHAnsi" w:eastAsiaTheme="minorEastAsia" w:hAnsiTheme="minorHAnsi" w:cstheme="minorBidi"/>
                <w:noProof/>
                <w:sz w:val="22"/>
                <w:szCs w:val="22"/>
              </w:rPr>
              <w:tab/>
            </w:r>
            <w:r w:rsidR="002E484B" w:rsidRPr="002849D6">
              <w:rPr>
                <w:rStyle w:val="Hyperlink"/>
                <w:noProof/>
              </w:rPr>
              <w:t>Absorption Requirements</w:t>
            </w:r>
            <w:r w:rsidR="002E484B">
              <w:rPr>
                <w:noProof/>
                <w:webHidden/>
              </w:rPr>
              <w:tab/>
            </w:r>
            <w:r w:rsidR="002E484B">
              <w:rPr>
                <w:noProof/>
                <w:webHidden/>
              </w:rPr>
              <w:fldChar w:fldCharType="begin"/>
            </w:r>
            <w:r w:rsidR="002E484B">
              <w:rPr>
                <w:noProof/>
                <w:webHidden/>
              </w:rPr>
              <w:instrText xml:space="preserve"> PAGEREF _Toc358185610 \h </w:instrText>
            </w:r>
            <w:r w:rsidR="002E484B">
              <w:rPr>
                <w:noProof/>
                <w:webHidden/>
              </w:rPr>
            </w:r>
            <w:r w:rsidR="002E484B">
              <w:rPr>
                <w:noProof/>
                <w:webHidden/>
              </w:rPr>
              <w:fldChar w:fldCharType="separate"/>
            </w:r>
            <w:r w:rsidR="007317DF">
              <w:rPr>
                <w:noProof/>
                <w:webHidden/>
              </w:rPr>
              <w:t>2</w:t>
            </w:r>
            <w:r w:rsidR="002E484B">
              <w:rPr>
                <w:noProof/>
                <w:webHidden/>
              </w:rPr>
              <w:fldChar w:fldCharType="end"/>
            </w:r>
          </w:hyperlink>
        </w:p>
        <w:p w14:paraId="27FDFB4E" w14:textId="77777777" w:rsidR="002E484B" w:rsidRDefault="00E75EB8">
          <w:pPr>
            <w:pStyle w:val="TOC1"/>
            <w:tabs>
              <w:tab w:val="left" w:pos="440"/>
              <w:tab w:val="right" w:leader="dot" w:pos="9350"/>
            </w:tabs>
            <w:rPr>
              <w:rFonts w:asciiTheme="minorHAnsi" w:eastAsiaTheme="minorEastAsia" w:hAnsiTheme="minorHAnsi" w:cstheme="minorBidi"/>
              <w:noProof/>
              <w:sz w:val="22"/>
              <w:szCs w:val="22"/>
            </w:rPr>
          </w:pPr>
          <w:hyperlink w:anchor="_Toc358185611" w:history="1">
            <w:r w:rsidR="002E484B" w:rsidRPr="002849D6">
              <w:rPr>
                <w:rStyle w:val="Hyperlink"/>
                <w:noProof/>
              </w:rPr>
              <w:t>3</w:t>
            </w:r>
            <w:r w:rsidR="002E484B">
              <w:rPr>
                <w:rFonts w:asciiTheme="minorHAnsi" w:eastAsiaTheme="minorEastAsia" w:hAnsiTheme="minorHAnsi" w:cstheme="minorBidi"/>
                <w:noProof/>
                <w:sz w:val="22"/>
                <w:szCs w:val="22"/>
              </w:rPr>
              <w:tab/>
            </w:r>
            <w:r w:rsidR="002E484B" w:rsidRPr="002849D6">
              <w:rPr>
                <w:rStyle w:val="Hyperlink"/>
                <w:noProof/>
              </w:rPr>
              <w:t>Particle Size Distribution</w:t>
            </w:r>
            <w:r w:rsidR="002E484B">
              <w:rPr>
                <w:noProof/>
                <w:webHidden/>
              </w:rPr>
              <w:tab/>
            </w:r>
            <w:r w:rsidR="002E484B">
              <w:rPr>
                <w:noProof/>
                <w:webHidden/>
              </w:rPr>
              <w:fldChar w:fldCharType="begin"/>
            </w:r>
            <w:r w:rsidR="002E484B">
              <w:rPr>
                <w:noProof/>
                <w:webHidden/>
              </w:rPr>
              <w:instrText xml:space="preserve"> PAGEREF _Toc358185611 \h </w:instrText>
            </w:r>
            <w:r w:rsidR="002E484B">
              <w:rPr>
                <w:noProof/>
                <w:webHidden/>
              </w:rPr>
            </w:r>
            <w:r w:rsidR="002E484B">
              <w:rPr>
                <w:noProof/>
                <w:webHidden/>
              </w:rPr>
              <w:fldChar w:fldCharType="separate"/>
            </w:r>
            <w:r w:rsidR="007317DF">
              <w:rPr>
                <w:noProof/>
                <w:webHidden/>
              </w:rPr>
              <w:t>3</w:t>
            </w:r>
            <w:r w:rsidR="002E484B">
              <w:rPr>
                <w:noProof/>
                <w:webHidden/>
              </w:rPr>
              <w:fldChar w:fldCharType="end"/>
            </w:r>
          </w:hyperlink>
        </w:p>
        <w:p w14:paraId="326B5F83" w14:textId="06F9C3AF" w:rsidR="008108A4" w:rsidRDefault="008108A4" w:rsidP="008108A4">
          <w:pPr>
            <w:shd w:val="clear" w:color="auto" w:fill="F2F2F2" w:themeFill="background1" w:themeFillShade="F2"/>
          </w:pPr>
          <w:r>
            <w:rPr>
              <w:b/>
              <w:bCs/>
              <w:noProof/>
            </w:rPr>
            <w:fldChar w:fldCharType="end"/>
          </w:r>
        </w:p>
      </w:sdtContent>
    </w:sdt>
    <w:p w14:paraId="174F3C02" w14:textId="77777777" w:rsidR="009D4D73" w:rsidRDefault="009D4D73" w:rsidP="0063053D">
      <w:pPr>
        <w:pStyle w:val="Header"/>
      </w:pPr>
    </w:p>
    <w:p w14:paraId="170F48AD" w14:textId="11802772" w:rsidR="00306B96" w:rsidRPr="00ED4513" w:rsidRDefault="00FE4BC9" w:rsidP="0063053D">
      <w:pPr>
        <w:pStyle w:val="Heading1"/>
      </w:pPr>
      <w:bookmarkStart w:id="0" w:name="_Toc358185609"/>
      <w:r>
        <w:t>Introduction</w:t>
      </w:r>
      <w:bookmarkEnd w:id="0"/>
    </w:p>
    <w:p w14:paraId="7A5DAC43" w14:textId="77777777" w:rsidR="00ED0C86" w:rsidRDefault="00ED0C86" w:rsidP="002A3708">
      <w:r>
        <w:t>Currently the best reference defining t</w:t>
      </w:r>
      <w:r w:rsidR="002A3708">
        <w:t>he required particulate cleanliness levels for the vacuum chambers and sensitive cavity optics for Advanced LIGO</w:t>
      </w:r>
      <w:r>
        <w:t xml:space="preserve"> is T080067-v1, “</w:t>
      </w:r>
      <w:r w:rsidRPr="00ED0C86">
        <w:t>Protecting installed core optics from particulates</w:t>
      </w:r>
      <w:r>
        <w:t>”</w:t>
      </w:r>
      <w:r>
        <w:rPr>
          <w:rStyle w:val="FootnoteReference"/>
        </w:rPr>
        <w:footnoteReference w:id="1"/>
      </w:r>
      <w:r w:rsidR="002A3708">
        <w:t>.</w:t>
      </w:r>
      <w:r>
        <w:t xml:space="preserve"> </w:t>
      </w:r>
      <w:r w:rsidR="002A3708">
        <w:t xml:space="preserve">In T080067-v1, reasonable and conservative limits and approximations were employed as prudent, with the caveat that they be feasible. We have since found that these </w:t>
      </w:r>
      <w:r>
        <w:t xml:space="preserve">particulate contamination </w:t>
      </w:r>
      <w:r w:rsidR="002A3708">
        <w:t xml:space="preserve">levels </w:t>
      </w:r>
      <w:r>
        <w:t>may</w:t>
      </w:r>
      <w:r w:rsidR="002A3708">
        <w:t xml:space="preserve"> not be feasible</w:t>
      </w:r>
      <w:r>
        <w:t xml:space="preserve"> to achieve in the LIGO vacuum chambers with our current cleanliness protocols and infrastructure. </w:t>
      </w:r>
    </w:p>
    <w:p w14:paraId="6F19A1EE" w14:textId="77777777" w:rsidR="00ED0C86" w:rsidRDefault="00ED0C86" w:rsidP="002A3708"/>
    <w:p w14:paraId="6292D415" w14:textId="77777777" w:rsidR="002E484B" w:rsidRDefault="00ED0C86" w:rsidP="002A3708">
      <w:r>
        <w:t>The purpose of this memo is to look</w:t>
      </w:r>
      <w:r w:rsidR="002A3708">
        <w:t xml:space="preserve"> for relief, by revisiting these requirements and taking out conservatism.</w:t>
      </w:r>
      <w:r>
        <w:t xml:space="preserve"> This memo complements (does not invalidate) T080067</w:t>
      </w:r>
      <w:r w:rsidR="00280C53">
        <w:t>. This is also not (yet) to be taken as a restatement of requirements, but rather a discussion of what might be acceptable, and what measurements are needed to improve our understanding of what is (or is not) acceptable.</w:t>
      </w:r>
      <w:r w:rsidR="006D6B62">
        <w:t xml:space="preserve"> </w:t>
      </w:r>
    </w:p>
    <w:p w14:paraId="4B213B66" w14:textId="77777777" w:rsidR="002E484B" w:rsidRDefault="002E484B" w:rsidP="002A3708"/>
    <w:p w14:paraId="5B6252C8" w14:textId="35DF1B25" w:rsidR="00ED0C86" w:rsidRDefault="006D6B62" w:rsidP="002A3708">
      <w:r>
        <w:t>I seek ultimately to answer the following questions:</w:t>
      </w:r>
    </w:p>
    <w:p w14:paraId="2ADABE3A" w14:textId="484E9D31" w:rsidR="006D6B62" w:rsidRDefault="006D6B62" w:rsidP="002E484B">
      <w:pPr>
        <w:ind w:left="720"/>
      </w:pPr>
      <w:r>
        <w:t>How clean do the cavity optics need to be in order to operate at full power?</w:t>
      </w:r>
    </w:p>
    <w:p w14:paraId="1D765B72" w14:textId="61BFCA21" w:rsidR="006D6B62" w:rsidRDefault="006D6B62" w:rsidP="002E484B">
      <w:pPr>
        <w:ind w:left="720"/>
      </w:pPr>
      <w:r>
        <w:t>What power level can we operate at as a function of particulate cleanliness level?</w:t>
      </w:r>
    </w:p>
    <w:p w14:paraId="0AF12FB4" w14:textId="15BA479B" w:rsidR="006D6B62" w:rsidRDefault="006D6B62" w:rsidP="002E484B">
      <w:pPr>
        <w:ind w:left="720"/>
      </w:pPr>
      <w:r>
        <w:t>What measurements or experiments should we perform to fill in missing information?</w:t>
      </w:r>
    </w:p>
    <w:p w14:paraId="7282D2E9" w14:textId="77777777" w:rsidR="00CE61AF" w:rsidRDefault="00CE61AF" w:rsidP="0063053D"/>
    <w:p w14:paraId="1DA60BD1" w14:textId="0620011C" w:rsidR="00ED0C86" w:rsidRDefault="00ED0C86" w:rsidP="00ED0C86">
      <w:pPr>
        <w:pStyle w:val="Heading1"/>
      </w:pPr>
      <w:bookmarkStart w:id="2" w:name="_Toc358185610"/>
      <w:r>
        <w:lastRenderedPageBreak/>
        <w:t>Absorption Requirements</w:t>
      </w:r>
      <w:bookmarkEnd w:id="2"/>
    </w:p>
    <w:p w14:paraId="14D73AC8" w14:textId="4F20DDC4" w:rsidR="00ED0C86" w:rsidRDefault="00280C53" w:rsidP="00280C53">
      <w:pPr>
        <w:autoSpaceDE w:val="0"/>
        <w:autoSpaceDN w:val="0"/>
        <w:adjustRightInd w:val="0"/>
        <w:jc w:val="left"/>
      </w:pPr>
      <w:r>
        <w:t xml:space="preserve">In T080067, Mike </w:t>
      </w:r>
      <w:proofErr w:type="spellStart"/>
      <w:r>
        <w:t>Zucker</w:t>
      </w:r>
      <w:proofErr w:type="spellEnd"/>
      <w:r>
        <w:t xml:space="preserve"> established that absorption requirements are more restrictive than scattering requirements on allowable particulate contamination. In T080067, Mike concluded that particulate absorption should contribute </w:t>
      </w:r>
      <w:r>
        <w:rPr>
          <w:rFonts w:cs="Arial"/>
          <w:sz w:val="26"/>
          <w:szCs w:val="26"/>
        </w:rPr>
        <w:t>≤</w:t>
      </w:r>
      <w:r>
        <w:t xml:space="preserve"> 0.1 ppm.</w:t>
      </w:r>
    </w:p>
    <w:p w14:paraId="3AE88F61" w14:textId="77777777" w:rsidR="00280C53" w:rsidRDefault="00280C53" w:rsidP="00ED0C86">
      <w:pPr>
        <w:autoSpaceDE w:val="0"/>
        <w:autoSpaceDN w:val="0"/>
        <w:adjustRightInd w:val="0"/>
        <w:jc w:val="left"/>
      </w:pPr>
    </w:p>
    <w:p w14:paraId="5CB3B420" w14:textId="77777777" w:rsidR="00ED0C86" w:rsidRPr="00DD6BF0" w:rsidRDefault="00ED0C86" w:rsidP="00ED0C86">
      <w:pPr>
        <w:autoSpaceDE w:val="0"/>
        <w:autoSpaceDN w:val="0"/>
        <w:adjustRightInd w:val="0"/>
        <w:jc w:val="left"/>
      </w:pPr>
      <w:r>
        <w:t>The Core Optics Components (</w:t>
      </w:r>
      <w:r w:rsidRPr="00DD6BF0">
        <w:t>COC</w:t>
      </w:r>
      <w:r>
        <w:t>) Design Requirements Document (</w:t>
      </w:r>
      <w:r w:rsidRPr="00DD6BF0">
        <w:t>DRD</w:t>
      </w:r>
      <w:r>
        <w:t>),</w:t>
      </w:r>
      <w:r w:rsidRPr="00DD6BF0">
        <w:t xml:space="preserve"> T000127-v2, Table 5, </w:t>
      </w:r>
      <w:r>
        <w:t xml:space="preserve">gives the </w:t>
      </w:r>
      <w:r w:rsidRPr="00DD6BF0">
        <w:t>total cumulative HR surface absorption</w:t>
      </w:r>
      <w:r>
        <w:t xml:space="preserve"> as follows</w:t>
      </w:r>
      <w:r w:rsidRPr="00DD6BF0">
        <w:t>:</w:t>
      </w:r>
    </w:p>
    <w:p w14:paraId="75121094" w14:textId="77777777" w:rsidR="00ED0C86" w:rsidRPr="00905EAD" w:rsidRDefault="00ED0C86" w:rsidP="00ED0C86">
      <w:pPr>
        <w:pStyle w:val="ListParagraph"/>
        <w:numPr>
          <w:ilvl w:val="0"/>
          <w:numId w:val="38"/>
        </w:numPr>
        <w:autoSpaceDE w:val="0"/>
        <w:autoSpaceDN w:val="0"/>
        <w:adjustRightInd w:val="0"/>
        <w:jc w:val="left"/>
      </w:pPr>
      <w:r w:rsidRPr="00905EAD">
        <w:t>&lt;1 ppm for ITM, ETM</w:t>
      </w:r>
    </w:p>
    <w:p w14:paraId="5112FF9E" w14:textId="77777777" w:rsidR="00ED0C86" w:rsidRPr="00905EAD" w:rsidRDefault="00ED0C86" w:rsidP="00ED0C86">
      <w:pPr>
        <w:pStyle w:val="ListParagraph"/>
        <w:numPr>
          <w:ilvl w:val="0"/>
          <w:numId w:val="38"/>
        </w:numPr>
        <w:autoSpaceDE w:val="0"/>
        <w:autoSpaceDN w:val="0"/>
        <w:adjustRightInd w:val="0"/>
        <w:jc w:val="left"/>
      </w:pPr>
      <w:r w:rsidRPr="00905EAD">
        <w:t>&lt;4 ppm for BS, RM</w:t>
      </w:r>
    </w:p>
    <w:p w14:paraId="60E521FE" w14:textId="77777777" w:rsidR="00ED0C86" w:rsidRDefault="00ED0C86" w:rsidP="00ED0C86">
      <w:pPr>
        <w:autoSpaceDE w:val="0"/>
        <w:autoSpaceDN w:val="0"/>
        <w:adjustRightInd w:val="0"/>
        <w:jc w:val="left"/>
      </w:pPr>
      <w:r w:rsidRPr="00DD6BF0">
        <w:t xml:space="preserve">where the </w:t>
      </w:r>
      <w:r>
        <w:t>pristine (uncontaminated) High Reflectance (</w:t>
      </w:r>
      <w:r w:rsidRPr="00DD6BF0">
        <w:t>HR</w:t>
      </w:r>
      <w:r>
        <w:t>)</w:t>
      </w:r>
      <w:r w:rsidRPr="00DD6BF0">
        <w:t xml:space="preserve"> coating absorpt</w:t>
      </w:r>
      <w:r>
        <w:t>ion was assumed to be &lt; 0.5 ppm.</w:t>
      </w:r>
    </w:p>
    <w:p w14:paraId="5156060F" w14:textId="77777777" w:rsidR="00ED0C86" w:rsidRPr="00DD6BF0" w:rsidRDefault="00ED0C86" w:rsidP="00ED0C86">
      <w:pPr>
        <w:autoSpaceDE w:val="0"/>
        <w:autoSpaceDN w:val="0"/>
        <w:adjustRightInd w:val="0"/>
        <w:jc w:val="left"/>
      </w:pPr>
    </w:p>
    <w:p w14:paraId="6C333FCB" w14:textId="06D15AA7" w:rsidR="00ED0C86" w:rsidRDefault="00ED0C86" w:rsidP="00ED0C86">
      <w:pPr>
        <w:autoSpaceDE w:val="0"/>
        <w:autoSpaceDN w:val="0"/>
        <w:adjustRightInd w:val="0"/>
        <w:jc w:val="left"/>
      </w:pPr>
      <w:r>
        <w:t>The Thermal Compensation System (</w:t>
      </w:r>
      <w:r w:rsidRPr="00DD6BF0">
        <w:t>TCS</w:t>
      </w:r>
      <w:r>
        <w:t>) CO</w:t>
      </w:r>
      <w:r w:rsidRPr="00F15F68">
        <w:rPr>
          <w:vertAlign w:val="subscript"/>
        </w:rPr>
        <w:t>2</w:t>
      </w:r>
      <w:r>
        <w:t xml:space="preserve"> Projector</w:t>
      </w:r>
      <w:r w:rsidRPr="00DD6BF0">
        <w:t xml:space="preserve"> </w:t>
      </w:r>
      <w:r>
        <w:t>(</w:t>
      </w:r>
      <w:r w:rsidRPr="00DD6BF0">
        <w:t>CO</w:t>
      </w:r>
      <w:r w:rsidRPr="00F15F68">
        <w:rPr>
          <w:vertAlign w:val="subscript"/>
        </w:rPr>
        <w:t>2</w:t>
      </w:r>
      <w:r w:rsidRPr="00DD6BF0">
        <w:t>P</w:t>
      </w:r>
      <w:r>
        <w:t>) Final Design Document (</w:t>
      </w:r>
      <w:r w:rsidRPr="00DD6BF0">
        <w:t>FDD</w:t>
      </w:r>
      <w:r>
        <w:t>),</w:t>
      </w:r>
      <w:r w:rsidRPr="00DD6BF0">
        <w:t xml:space="preserve"> T1100570-v3, section 3.2, </w:t>
      </w:r>
      <w:r>
        <w:t xml:space="preserve">states that </w:t>
      </w:r>
      <w:r w:rsidRPr="00DD6BF0">
        <w:t>TCS is designed for 0.5 ppm HR surface absorption of the ITM &amp;</w:t>
      </w:r>
      <w:r>
        <w:t xml:space="preserve"> ETM, with a safety factor of 2. Consequently the TCS is designed for a worst case absorption of</w:t>
      </w:r>
      <w:r w:rsidRPr="00DD6BF0">
        <w:t xml:space="preserve"> </w:t>
      </w:r>
      <w:r>
        <w:rPr>
          <w:rFonts w:cs="Arial"/>
          <w:sz w:val="26"/>
          <w:szCs w:val="26"/>
        </w:rPr>
        <w:t>≤</w:t>
      </w:r>
      <w:r w:rsidRPr="00DD6BF0">
        <w:t xml:space="preserve"> 1 ppm HR surface absorption of TMs (consistent with the COC DRD)</w:t>
      </w:r>
      <w:r w:rsidR="00280C53">
        <w:rPr>
          <w:rStyle w:val="FootnoteReference"/>
        </w:rPr>
        <w:footnoteReference w:id="2"/>
      </w:r>
      <w:r>
        <w:t>.</w:t>
      </w:r>
    </w:p>
    <w:p w14:paraId="0523407E" w14:textId="77777777" w:rsidR="00ED0C86" w:rsidRPr="00DD6BF0" w:rsidRDefault="00ED0C86" w:rsidP="00ED0C86">
      <w:pPr>
        <w:autoSpaceDE w:val="0"/>
        <w:autoSpaceDN w:val="0"/>
        <w:adjustRightInd w:val="0"/>
        <w:jc w:val="left"/>
        <w:rPr>
          <w:rFonts w:ascii="MS Shell Dlg 2" w:hAnsi="MS Shell Dlg 2" w:cs="MS Shell Dlg 2"/>
          <w:sz w:val="16"/>
          <w:szCs w:val="16"/>
        </w:rPr>
      </w:pPr>
    </w:p>
    <w:p w14:paraId="346DCB0F" w14:textId="77777777" w:rsidR="00ED0C86" w:rsidRPr="00DD6BF0" w:rsidRDefault="00ED0C86" w:rsidP="00ED0C86">
      <w:pPr>
        <w:autoSpaceDE w:val="0"/>
        <w:autoSpaceDN w:val="0"/>
        <w:adjustRightInd w:val="0"/>
        <w:jc w:val="left"/>
      </w:pPr>
      <w:r w:rsidRPr="00DD6BF0">
        <w:t>Measurements</w:t>
      </w:r>
      <w:r>
        <w:t xml:space="preserve"> of as-built coating absorption (found at </w:t>
      </w:r>
      <w:hyperlink r:id="rId10" w:history="1">
        <w:r w:rsidRPr="006736B6">
          <w:rPr>
            <w:rStyle w:val="Hyperlink"/>
            <w:rFonts w:eastAsiaTheme="majorEastAsia"/>
          </w:rPr>
          <w:t>https://nebula.ligo.caltech.edu/optics/</w:t>
        </w:r>
      </w:hyperlink>
      <w:r>
        <w:t>) are as follows:</w:t>
      </w:r>
    </w:p>
    <w:p w14:paraId="7313DB82" w14:textId="77777777" w:rsidR="00ED0C86" w:rsidRDefault="00ED0C86" w:rsidP="00ED0C86">
      <w:pPr>
        <w:pStyle w:val="ListParagraph"/>
        <w:numPr>
          <w:ilvl w:val="0"/>
          <w:numId w:val="39"/>
        </w:numPr>
        <w:autoSpaceDE w:val="0"/>
        <w:autoSpaceDN w:val="0"/>
        <w:adjustRightInd w:val="0"/>
        <w:jc w:val="left"/>
      </w:pPr>
      <w:r w:rsidRPr="00F15F68">
        <w:t>0.3 ppm generally, max 0.4 ppm for ITM, ETM</w:t>
      </w:r>
    </w:p>
    <w:p w14:paraId="5BD8FAFE" w14:textId="77777777" w:rsidR="00ED0C86" w:rsidRDefault="00ED0C86" w:rsidP="00ED0C86">
      <w:pPr>
        <w:pStyle w:val="ListParagraph"/>
        <w:numPr>
          <w:ilvl w:val="0"/>
          <w:numId w:val="39"/>
        </w:numPr>
        <w:autoSpaceDE w:val="0"/>
        <w:autoSpaceDN w:val="0"/>
        <w:adjustRightInd w:val="0"/>
        <w:jc w:val="left"/>
      </w:pPr>
      <w:r w:rsidRPr="00F15F68">
        <w:rPr>
          <w:rFonts w:ascii="Mathematica1" w:hAnsi="Mathematica1" w:cs="Mathematica1"/>
        </w:rPr>
        <w:t></w:t>
      </w:r>
      <w:r w:rsidRPr="00F15F68">
        <w:t xml:space="preserve"> 0.7 ppm generally, max 1.0 ppm for PRM, PR2, PR3</w:t>
      </w:r>
    </w:p>
    <w:p w14:paraId="2E21CA5A" w14:textId="77777777" w:rsidR="00ED0C86" w:rsidRPr="00F15F68" w:rsidRDefault="00ED0C86" w:rsidP="00ED0C86">
      <w:pPr>
        <w:pStyle w:val="ListParagraph"/>
        <w:numPr>
          <w:ilvl w:val="0"/>
          <w:numId w:val="39"/>
        </w:numPr>
        <w:autoSpaceDE w:val="0"/>
        <w:autoSpaceDN w:val="0"/>
        <w:adjustRightInd w:val="0"/>
        <w:jc w:val="left"/>
      </w:pPr>
      <w:r w:rsidRPr="00F15F68">
        <w:rPr>
          <w:rFonts w:ascii="Mathematica1" w:hAnsi="Mathematica1" w:cs="Mathematica1"/>
        </w:rPr>
        <w:t></w:t>
      </w:r>
      <w:r w:rsidRPr="00F15F68">
        <w:t xml:space="preserve"> 0.6 ppm for BS</w:t>
      </w:r>
    </w:p>
    <w:p w14:paraId="615C9DA2" w14:textId="77777777" w:rsidR="00ED0C86" w:rsidRDefault="00ED0C86" w:rsidP="00ED0C86">
      <w:pPr>
        <w:autoSpaceDE w:val="0"/>
        <w:autoSpaceDN w:val="0"/>
        <w:adjustRightInd w:val="0"/>
        <w:jc w:val="left"/>
      </w:pPr>
      <w:r w:rsidRPr="00DD6BF0">
        <w:t>Consequently the allowable absorption due to contamination is:</w:t>
      </w:r>
    </w:p>
    <w:p w14:paraId="39183FDF" w14:textId="77777777" w:rsidR="00ED0C86" w:rsidRDefault="00ED0C86" w:rsidP="00ED0C86">
      <w:pPr>
        <w:pStyle w:val="ListParagraph"/>
        <w:numPr>
          <w:ilvl w:val="0"/>
          <w:numId w:val="40"/>
        </w:numPr>
        <w:autoSpaceDE w:val="0"/>
        <w:autoSpaceDN w:val="0"/>
        <w:adjustRightInd w:val="0"/>
        <w:jc w:val="left"/>
      </w:pPr>
      <w:r w:rsidRPr="003B3529">
        <w:rPr>
          <w:rFonts w:ascii="Mathematica1" w:hAnsi="Mathematica1" w:cs="Mathematica1"/>
        </w:rPr>
        <w:t></w:t>
      </w:r>
      <w:r w:rsidRPr="003B3529">
        <w:t xml:space="preserve"> 0.7 ppm generally for ITM, ETM</w:t>
      </w:r>
    </w:p>
    <w:p w14:paraId="725716B0" w14:textId="77777777" w:rsidR="00ED0C86" w:rsidRPr="003B3529" w:rsidRDefault="00ED0C86" w:rsidP="00ED0C86">
      <w:pPr>
        <w:pStyle w:val="ListParagraph"/>
        <w:numPr>
          <w:ilvl w:val="0"/>
          <w:numId w:val="40"/>
        </w:numPr>
        <w:autoSpaceDE w:val="0"/>
        <w:autoSpaceDN w:val="0"/>
        <w:adjustRightInd w:val="0"/>
        <w:jc w:val="left"/>
      </w:pPr>
      <w:r w:rsidRPr="003B3529">
        <w:rPr>
          <w:rFonts w:ascii="Mathematica1" w:hAnsi="Mathematica1" w:cs="Mathematica1"/>
        </w:rPr>
        <w:t></w:t>
      </w:r>
      <w:r w:rsidRPr="003B3529">
        <w:t xml:space="preserve"> 3.3 ppm generally for BS, PRM, PR2, PR3</w:t>
      </w:r>
    </w:p>
    <w:p w14:paraId="120E657C" w14:textId="77777777" w:rsidR="00ED0C86" w:rsidRDefault="00ED0C86" w:rsidP="00ED0C86">
      <w:pPr>
        <w:autoSpaceDE w:val="0"/>
        <w:autoSpaceDN w:val="0"/>
        <w:adjustRightInd w:val="0"/>
        <w:jc w:val="left"/>
      </w:pPr>
      <w:r w:rsidRPr="00DD6BF0">
        <w:t xml:space="preserve">This allowable absorption must be allocated (budgeted) to both hydrocarbon deposition and particulates. </w:t>
      </w:r>
    </w:p>
    <w:p w14:paraId="4D581027" w14:textId="77777777" w:rsidR="00ED0C86" w:rsidRDefault="00ED0C86" w:rsidP="00ED0C86">
      <w:pPr>
        <w:autoSpaceDE w:val="0"/>
        <w:autoSpaceDN w:val="0"/>
        <w:adjustRightInd w:val="0"/>
        <w:jc w:val="left"/>
      </w:pPr>
    </w:p>
    <w:p w14:paraId="4670744C" w14:textId="1139ADFC" w:rsidR="00ED0C86" w:rsidRDefault="00ED0C86" w:rsidP="00ED0C86">
      <w:pPr>
        <w:autoSpaceDE w:val="0"/>
        <w:autoSpaceDN w:val="0"/>
        <w:adjustRightInd w:val="0"/>
        <w:jc w:val="left"/>
      </w:pPr>
      <w:r w:rsidRPr="00DD6BF0">
        <w:t>Measurements to date (E1000193-x0, LIGO UHV Qualification Test Results) show no measureable absorption due to hydrocarbon film deposition, so assume</w:t>
      </w:r>
      <w:r w:rsidR="00C77415">
        <w:rPr>
          <w:rStyle w:val="FootnoteReference"/>
        </w:rPr>
        <w:footnoteReference w:id="3"/>
      </w:r>
      <w:r w:rsidRPr="00DD6BF0">
        <w:t>:</w:t>
      </w:r>
    </w:p>
    <w:p w14:paraId="632A5010" w14:textId="77777777" w:rsidR="00ED0C86" w:rsidRPr="003B3529" w:rsidRDefault="00ED0C86" w:rsidP="00ED0C86">
      <w:pPr>
        <w:pStyle w:val="ListParagraph"/>
        <w:numPr>
          <w:ilvl w:val="0"/>
          <w:numId w:val="41"/>
        </w:numPr>
        <w:autoSpaceDE w:val="0"/>
        <w:autoSpaceDN w:val="0"/>
        <w:adjustRightInd w:val="0"/>
        <w:jc w:val="left"/>
      </w:pPr>
      <w:r w:rsidRPr="003B3529">
        <w:rPr>
          <w:rFonts w:ascii="Mathematica1" w:hAnsi="Mathematica1" w:cs="Mathematica1"/>
        </w:rPr>
        <w:t></w:t>
      </w:r>
      <w:r w:rsidRPr="003B3529">
        <w:t xml:space="preserve"> 0.1 ppm due to hydrocarbon film deposition</w:t>
      </w:r>
    </w:p>
    <w:p w14:paraId="694E6873" w14:textId="77777777" w:rsidR="00ED0C86" w:rsidRDefault="00ED0C86" w:rsidP="00ED0C86">
      <w:pPr>
        <w:autoSpaceDE w:val="0"/>
        <w:autoSpaceDN w:val="0"/>
        <w:adjustRightInd w:val="0"/>
        <w:jc w:val="left"/>
      </w:pPr>
      <w:r w:rsidRPr="00DD6BF0">
        <w:t>Consequently</w:t>
      </w:r>
      <w:r>
        <w:t xml:space="preserve"> the allowable absorption levels due to particulates are as follows</w:t>
      </w:r>
      <w:r w:rsidRPr="00DD6BF0">
        <w:t>:</w:t>
      </w:r>
    </w:p>
    <w:p w14:paraId="000A008A" w14:textId="77777777" w:rsidR="00ED0C86" w:rsidRDefault="00ED0C86" w:rsidP="00ED0C86">
      <w:pPr>
        <w:pStyle w:val="ListParagraph"/>
        <w:numPr>
          <w:ilvl w:val="0"/>
          <w:numId w:val="41"/>
        </w:numPr>
        <w:autoSpaceDE w:val="0"/>
        <w:autoSpaceDN w:val="0"/>
        <w:adjustRightInd w:val="0"/>
        <w:jc w:val="left"/>
      </w:pPr>
      <w:r w:rsidRPr="003B3529">
        <w:rPr>
          <w:rFonts w:ascii="Mathematica1" w:hAnsi="Mathematica1" w:cs="Mathematica1"/>
        </w:rPr>
        <w:t></w:t>
      </w:r>
      <w:r w:rsidRPr="003B3529">
        <w:t xml:space="preserve"> 0.6 ppm for particulates on ITMs, ETMs</w:t>
      </w:r>
    </w:p>
    <w:p w14:paraId="1AC34BCF" w14:textId="77777777" w:rsidR="00ED0C86" w:rsidRPr="003B3529" w:rsidRDefault="00ED0C86" w:rsidP="00ED0C86">
      <w:pPr>
        <w:pStyle w:val="ListParagraph"/>
        <w:numPr>
          <w:ilvl w:val="0"/>
          <w:numId w:val="41"/>
        </w:numPr>
        <w:autoSpaceDE w:val="0"/>
        <w:autoSpaceDN w:val="0"/>
        <w:adjustRightInd w:val="0"/>
        <w:jc w:val="left"/>
      </w:pPr>
      <w:r w:rsidRPr="003B3529">
        <w:rPr>
          <w:rFonts w:ascii="Mathematica1" w:hAnsi="Mathematica1" w:cs="Mathematica1"/>
        </w:rPr>
        <w:t></w:t>
      </w:r>
      <w:r w:rsidRPr="003B3529">
        <w:t xml:space="preserve"> 3.2 ppm for particulates on BS, PRM, PR2, PR3</w:t>
      </w:r>
    </w:p>
    <w:p w14:paraId="513FF4FA" w14:textId="77777777" w:rsidR="00ED0C86" w:rsidRDefault="00ED0C86" w:rsidP="00ED0C86">
      <w:r w:rsidRPr="00DD6BF0">
        <w:t>N.B.: These allowable absorption levels are considerably higher than the value (</w:t>
      </w:r>
      <w:r w:rsidRPr="00DD6BF0">
        <w:rPr>
          <w:rFonts w:ascii="Mathematica1" w:hAnsi="Mathematica1" w:cs="Mathematica1"/>
        </w:rPr>
        <w:t></w:t>
      </w:r>
      <w:r w:rsidRPr="00DD6BF0">
        <w:t>0.1 ppm) assumed in section 2 of T080067-v1, “Protecting installed core optics from particulates”</w:t>
      </w:r>
      <w:r>
        <w:t xml:space="preserve">. </w:t>
      </w:r>
    </w:p>
    <w:p w14:paraId="69B4EB4C" w14:textId="77777777" w:rsidR="00ED0C86" w:rsidRDefault="00ED0C86" w:rsidP="0063053D"/>
    <w:p w14:paraId="4DF67A45" w14:textId="3613431D" w:rsidR="00CD5309" w:rsidRDefault="00CD5309" w:rsidP="00CD5309">
      <w:pPr>
        <w:pStyle w:val="Heading1"/>
      </w:pPr>
      <w:bookmarkStart w:id="3" w:name="_Toc358185611"/>
      <w:r>
        <w:lastRenderedPageBreak/>
        <w:t>Particle Size Distribution</w:t>
      </w:r>
      <w:bookmarkEnd w:id="3"/>
    </w:p>
    <w:p w14:paraId="6CB53C9C" w14:textId="77777777" w:rsidR="0021178D" w:rsidRDefault="00CD5309" w:rsidP="00CD5309">
      <w:r>
        <w:t xml:space="preserve">In T080067 Mike </w:t>
      </w:r>
      <w:proofErr w:type="spellStart"/>
      <w:r>
        <w:t>Zucker</w:t>
      </w:r>
      <w:proofErr w:type="spellEnd"/>
      <w:r>
        <w:t xml:space="preserve"> includes a very good discussion regarding the particle size distribution functions used in the literature, in specifications and found in practice. In particular he notes that the industry standard for characterizing surface particulate cleanliness, IEST-STD-CC1246D</w:t>
      </w:r>
      <w:r>
        <w:rPr>
          <w:rStyle w:val="FootnoteReference"/>
        </w:rPr>
        <w:footnoteReference w:id="4"/>
      </w:r>
      <w:r>
        <w:t xml:space="preserve"> employs a distribution which (a) does not apply to particle sizes &lt; 1 micron and (b) does not accurately reflect surveys of actual contaminated surfaces, where there is an excess of larger particles. It has been suggested that the IEST-STD-1246D is only applicable to surfaces which have been recently precision cleaned. </w:t>
      </w:r>
    </w:p>
    <w:p w14:paraId="45A8684D" w14:textId="77777777" w:rsidR="0021178D" w:rsidRDefault="0021178D" w:rsidP="00CD5309"/>
    <w:p w14:paraId="04021EF0" w14:textId="7FE314F8" w:rsidR="0021178D" w:rsidRDefault="0021178D" w:rsidP="00CD5309">
      <w:r>
        <w:t>W</w:t>
      </w:r>
      <w:r w:rsidR="00CD5309">
        <w:t xml:space="preserve">e intend to evolve </w:t>
      </w:r>
      <w:r>
        <w:t>to the following state and practices:</w:t>
      </w:r>
    </w:p>
    <w:p w14:paraId="68B635B3" w14:textId="3E61C11B" w:rsidR="0021178D" w:rsidRDefault="0021178D" w:rsidP="0021178D">
      <w:pPr>
        <w:pStyle w:val="ListParagraph"/>
        <w:numPr>
          <w:ilvl w:val="0"/>
          <w:numId w:val="42"/>
        </w:numPr>
      </w:pPr>
      <w:r>
        <w:t>improve the particulate cleanliness of the chamber environments by successive cleanings,</w:t>
      </w:r>
    </w:p>
    <w:p w14:paraId="30CCA644" w14:textId="635C9477" w:rsidR="00CD5309" w:rsidRDefault="00CD5309" w:rsidP="0021178D">
      <w:pPr>
        <w:pStyle w:val="ListParagraph"/>
        <w:numPr>
          <w:ilvl w:val="0"/>
          <w:numId w:val="42"/>
        </w:numPr>
      </w:pPr>
      <w:r>
        <w:t xml:space="preserve">perform First Contact™ </w:t>
      </w:r>
      <w:r w:rsidR="0021178D">
        <w:t>cleaning of all critical optical surfaces as the last step before closing up for a science run, and</w:t>
      </w:r>
    </w:p>
    <w:p w14:paraId="1A275D1B" w14:textId="626A8209" w:rsidR="0021178D" w:rsidRDefault="0021178D" w:rsidP="0021178D">
      <w:pPr>
        <w:pStyle w:val="ListParagraph"/>
        <w:numPr>
          <w:ilvl w:val="0"/>
          <w:numId w:val="42"/>
        </w:numPr>
      </w:pPr>
      <w:r>
        <w:t>pump down slowly enough that particulates are not entrained and lofted into the airflow</w:t>
      </w:r>
    </w:p>
    <w:p w14:paraId="5802119C" w14:textId="66F87251" w:rsidR="0021178D" w:rsidRDefault="0021178D" w:rsidP="0021178D">
      <w:r>
        <w:t>In this case, the IEST-STD-1246D particle size distribution may apply to our vertically oriented and freshly cleaned optical surfaces.</w:t>
      </w:r>
    </w:p>
    <w:p w14:paraId="64466EFB" w14:textId="77777777" w:rsidR="0021178D" w:rsidRDefault="0021178D" w:rsidP="0021178D"/>
    <w:p w14:paraId="3D3EDCD0" w14:textId="55D5DFF7" w:rsidR="00252795" w:rsidRDefault="00252795" w:rsidP="0021178D">
      <w:r>
        <w:t>The IEST-STD-1246D standard gives the particle size distribution in the form of a complementary cumulative distribution function (</w:t>
      </w:r>
      <w:r w:rsidR="008B4C41">
        <w:t xml:space="preserve">CCDF, </w:t>
      </w:r>
      <w:r>
        <w:t>aka tail distribution), for the number density N[</w:t>
      </w:r>
      <w:proofErr w:type="spellStart"/>
      <w:r>
        <w:t>x,L</w:t>
      </w:r>
      <w:proofErr w:type="spellEnd"/>
      <w:r>
        <w:t>] for particles of size x or larger for cleanliness level L</w:t>
      </w:r>
      <w:r w:rsidR="008B4C41">
        <w:t xml:space="preserve">. </w:t>
      </w:r>
      <w:r w:rsidR="00063B3C">
        <w:t>A cleanliness level of L means a particulate surface density at which there is only 1 particle of L microns or larger on a 0.1 m</w:t>
      </w:r>
      <w:r w:rsidR="00063B3C" w:rsidRPr="008B4C41">
        <w:rPr>
          <w:vertAlign w:val="superscript"/>
        </w:rPr>
        <w:t>2</w:t>
      </w:r>
      <w:r w:rsidR="00063B3C">
        <w:t xml:space="preserve"> surface. </w:t>
      </w:r>
      <w:r w:rsidR="008B4C41">
        <w:t xml:space="preserve">A normalized </w:t>
      </w:r>
      <w:r w:rsidR="00B56E89">
        <w:t xml:space="preserve">cumulative distribution function </w:t>
      </w:r>
      <w:r w:rsidR="008B4C41">
        <w:t xml:space="preserve">CDF and its associated probability density function (PDF) are shown in </w:t>
      </w:r>
      <w:r w:rsidR="00063B3C">
        <w:fldChar w:fldCharType="begin"/>
      </w:r>
      <w:r w:rsidR="00063B3C">
        <w:instrText xml:space="preserve"> REF _Ref358183486 \h </w:instrText>
      </w:r>
      <w:r w:rsidR="00063B3C">
        <w:fldChar w:fldCharType="separate"/>
      </w:r>
      <w:r w:rsidR="007317DF">
        <w:t xml:space="preserve">Figure </w:t>
      </w:r>
      <w:r w:rsidR="007317DF">
        <w:rPr>
          <w:noProof/>
        </w:rPr>
        <w:t>1</w:t>
      </w:r>
      <w:r w:rsidR="00063B3C">
        <w:fldChar w:fldCharType="end"/>
      </w:r>
      <w:r w:rsidR="00063B3C">
        <w:t xml:space="preserve">. </w:t>
      </w:r>
      <w:r w:rsidR="008B4C41">
        <w:t xml:space="preserve"> </w:t>
      </w:r>
    </w:p>
    <w:p w14:paraId="2FA9F719" w14:textId="77777777" w:rsidR="00252795" w:rsidRDefault="00252795" w:rsidP="0021178D"/>
    <w:tbl>
      <w:tblPr>
        <w:tblStyle w:val="TableGrid"/>
        <w:tblW w:w="0" w:type="auto"/>
        <w:tblLook w:val="04A0" w:firstRow="1" w:lastRow="0" w:firstColumn="1" w:lastColumn="0" w:noHBand="0" w:noVBand="1"/>
      </w:tblPr>
      <w:tblGrid>
        <w:gridCol w:w="4788"/>
        <w:gridCol w:w="4788"/>
      </w:tblGrid>
      <w:tr w:rsidR="00C96916" w14:paraId="4A661D80" w14:textId="77777777" w:rsidTr="00C96916">
        <w:tc>
          <w:tcPr>
            <w:tcW w:w="4788" w:type="dxa"/>
          </w:tcPr>
          <w:p w14:paraId="0CD2018B" w14:textId="644C87C1" w:rsidR="00C96916" w:rsidRDefault="00063B3C" w:rsidP="0021178D">
            <w:r w:rsidRPr="00063B3C">
              <w:rPr>
                <w:noProof/>
              </w:rPr>
              <w:drawing>
                <wp:inline distT="0" distB="0" distL="0" distR="0" wp14:anchorId="241011FE" wp14:editId="4453F78C">
                  <wp:extent cx="274320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66900"/>
                          </a:xfrm>
                          <a:prstGeom prst="rect">
                            <a:avLst/>
                          </a:prstGeom>
                          <a:noFill/>
                          <a:ln>
                            <a:noFill/>
                          </a:ln>
                        </pic:spPr>
                      </pic:pic>
                    </a:graphicData>
                  </a:graphic>
                </wp:inline>
              </w:drawing>
            </w:r>
          </w:p>
        </w:tc>
        <w:tc>
          <w:tcPr>
            <w:tcW w:w="4788" w:type="dxa"/>
          </w:tcPr>
          <w:p w14:paraId="6F91E0B3" w14:textId="088C95CF" w:rsidR="00C96916" w:rsidRDefault="00063B3C" w:rsidP="0021178D">
            <w:r w:rsidRPr="00063B3C">
              <w:rPr>
                <w:noProof/>
              </w:rPr>
              <w:drawing>
                <wp:inline distT="0" distB="0" distL="0" distR="0" wp14:anchorId="27063142" wp14:editId="489B4AAC">
                  <wp:extent cx="2743200" cy="1769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769745"/>
                          </a:xfrm>
                          <a:prstGeom prst="rect">
                            <a:avLst/>
                          </a:prstGeom>
                          <a:noFill/>
                          <a:ln>
                            <a:noFill/>
                          </a:ln>
                        </pic:spPr>
                      </pic:pic>
                    </a:graphicData>
                  </a:graphic>
                </wp:inline>
              </w:drawing>
            </w:r>
          </w:p>
        </w:tc>
      </w:tr>
    </w:tbl>
    <w:p w14:paraId="6561B49E" w14:textId="3B316047" w:rsidR="00C96916" w:rsidRDefault="00063B3C" w:rsidP="00063B3C">
      <w:pPr>
        <w:pStyle w:val="Caption"/>
      </w:pPr>
      <w:bookmarkStart w:id="4" w:name="_Ref358183486"/>
      <w:r>
        <w:t xml:space="preserve">Figure </w:t>
      </w:r>
      <w:r w:rsidR="00E75EB8">
        <w:fldChar w:fldCharType="begin"/>
      </w:r>
      <w:r w:rsidR="00E75EB8">
        <w:instrText xml:space="preserve"> SEQ Figure \* ARABIC </w:instrText>
      </w:r>
      <w:r w:rsidR="00E75EB8">
        <w:fldChar w:fldCharType="separate"/>
      </w:r>
      <w:r w:rsidR="007317DF">
        <w:rPr>
          <w:noProof/>
        </w:rPr>
        <w:t>1</w:t>
      </w:r>
      <w:r w:rsidR="00E75EB8">
        <w:rPr>
          <w:noProof/>
        </w:rPr>
        <w:fldChar w:fldCharType="end"/>
      </w:r>
      <w:bookmarkEnd w:id="4"/>
      <w:r>
        <w:t xml:space="preserve"> The normalized complementary CDF and PDF functions for IEST-STYD-1246D </w:t>
      </w:r>
    </w:p>
    <w:p w14:paraId="705AF8F2" w14:textId="698CCB29" w:rsidR="00C96916" w:rsidRDefault="00B52937" w:rsidP="0021178D">
      <w:r>
        <w:t>Note that there is an assumed, sharp cutoff in particulates below 1 micron and that the PDF peaks at ~2 microns.</w:t>
      </w:r>
    </w:p>
    <w:p w14:paraId="0A23F6E2" w14:textId="77777777" w:rsidR="00686C7F" w:rsidRDefault="00686C7F" w:rsidP="0021178D"/>
    <w:p w14:paraId="20C30143" w14:textId="4973EA18" w:rsidR="00686C7F" w:rsidRDefault="00686C7F" w:rsidP="0021178D">
      <w:r>
        <w:lastRenderedPageBreak/>
        <w:t>If we integrate the PDF times the particle projected (cross-sectional) area, assuming all particles are spherical or round, and vary the cleanliness level</w:t>
      </w:r>
      <w:r w:rsidR="00530957">
        <w:t>, L,</w:t>
      </w:r>
      <w:r>
        <w:t xml:space="preserve"> until the obscuration ratio is 0.6 ppm (our maximum acceptable </w:t>
      </w:r>
      <w:r w:rsidR="00530957">
        <w:t>amount assuming an albedo of 1), we find that L = 65.</w:t>
      </w:r>
    </w:p>
    <w:p w14:paraId="5FC37C84" w14:textId="77777777" w:rsidR="00B52937" w:rsidRDefault="00B52937" w:rsidP="0021178D"/>
    <w:p w14:paraId="595AE3B9" w14:textId="67E2952A" w:rsidR="00B52937" w:rsidRDefault="00A868EC" w:rsidP="0021178D">
      <w:r>
        <w:t xml:space="preserve">As Mike </w:t>
      </w:r>
      <w:proofErr w:type="spellStart"/>
      <w:r>
        <w:t>Zucker</w:t>
      </w:r>
      <w:proofErr w:type="spellEnd"/>
      <w:r>
        <w:t xml:space="preserve"> noted in T080067, there must be a particle size upper limit, particularly for our vertically inclined optical surfaces (where the gravity force overcomes electrostatic or van der Waals forces). He postulated ~200 microns. While this is important if the roll-off in the distribution function, with particle size, is not fast (as is the case for surfaces with long integrated exposure) it is not important for the IEST-STD-1246D distribution, as shown in </w:t>
      </w:r>
      <w:r w:rsidR="00CD7D43">
        <w:fldChar w:fldCharType="begin"/>
      </w:r>
      <w:r w:rsidR="00CD7D43">
        <w:instrText xml:space="preserve"> REF _Ref358184789 \h </w:instrText>
      </w:r>
      <w:r w:rsidR="00CD7D43">
        <w:fldChar w:fldCharType="separate"/>
      </w:r>
      <w:r w:rsidR="007317DF">
        <w:t xml:space="preserve">Figure </w:t>
      </w:r>
      <w:r w:rsidR="007317DF">
        <w:rPr>
          <w:noProof/>
        </w:rPr>
        <w:t>2</w:t>
      </w:r>
      <w:r w:rsidR="00CD7D43">
        <w:fldChar w:fldCharType="end"/>
      </w:r>
      <w:r>
        <w:t>.</w:t>
      </w:r>
    </w:p>
    <w:p w14:paraId="54C9B333" w14:textId="77777777" w:rsidR="00A868EC" w:rsidRDefault="00A868EC" w:rsidP="0021178D"/>
    <w:p w14:paraId="58EC879D" w14:textId="50CE28AD" w:rsidR="00A868EC" w:rsidRDefault="00CD7D43" w:rsidP="0021178D">
      <w:r w:rsidRPr="00CD7D43">
        <w:rPr>
          <w:noProof/>
        </w:rPr>
        <w:drawing>
          <wp:inline distT="0" distB="0" distL="0" distR="0" wp14:anchorId="61E6ACC5" wp14:editId="237B6B40">
            <wp:extent cx="4152900" cy="261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2616200"/>
                    </a:xfrm>
                    <a:prstGeom prst="rect">
                      <a:avLst/>
                    </a:prstGeom>
                    <a:noFill/>
                    <a:ln>
                      <a:noFill/>
                    </a:ln>
                  </pic:spPr>
                </pic:pic>
              </a:graphicData>
            </a:graphic>
          </wp:inline>
        </w:drawing>
      </w:r>
    </w:p>
    <w:p w14:paraId="6D0D5D2A" w14:textId="4A6F180A" w:rsidR="00C96916" w:rsidRDefault="00CD7D43" w:rsidP="00CD7D43">
      <w:pPr>
        <w:pStyle w:val="Caption"/>
      </w:pPr>
      <w:bookmarkStart w:id="5" w:name="_Ref358184789"/>
      <w:r>
        <w:t xml:space="preserve">Figure </w:t>
      </w:r>
      <w:r w:rsidR="00E75EB8">
        <w:fldChar w:fldCharType="begin"/>
      </w:r>
      <w:r w:rsidR="00E75EB8">
        <w:instrText xml:space="preserve"> SEQ Figure \* ARABIC </w:instrText>
      </w:r>
      <w:r w:rsidR="00E75EB8">
        <w:fldChar w:fldCharType="separate"/>
      </w:r>
      <w:r w:rsidR="007317DF">
        <w:rPr>
          <w:noProof/>
        </w:rPr>
        <w:t>2</w:t>
      </w:r>
      <w:r w:rsidR="00E75EB8">
        <w:rPr>
          <w:noProof/>
        </w:rPr>
        <w:fldChar w:fldCharType="end"/>
      </w:r>
      <w:bookmarkEnd w:id="5"/>
      <w:r>
        <w:t xml:space="preserve"> Obscuration Ratio Integral (for particle size &gt; x) with particle size cutoffs of 200, 300 and 500 microns</w:t>
      </w:r>
    </w:p>
    <w:p w14:paraId="7E1CC308" w14:textId="3F3A25AA" w:rsidR="00B81252" w:rsidRDefault="00B81252" w:rsidP="00B81252">
      <w:r>
        <w:t xml:space="preserve">The ratio of particulate density for various cleanliness levels, L, higher than our minimum “requirement” of 65 is given in </w:t>
      </w:r>
      <w:r>
        <w:fldChar w:fldCharType="begin"/>
      </w:r>
      <w:r>
        <w:instrText xml:space="preserve"> REF _Ref358185322 \h </w:instrText>
      </w:r>
      <w:r>
        <w:fldChar w:fldCharType="separate"/>
      </w:r>
      <w:r w:rsidR="007317DF">
        <w:t xml:space="preserve">Table </w:t>
      </w:r>
      <w:r w:rsidR="007317DF">
        <w:rPr>
          <w:noProof/>
        </w:rPr>
        <w:t>1</w:t>
      </w:r>
      <w:r>
        <w:fldChar w:fldCharType="end"/>
      </w:r>
      <w:r>
        <w:t>.</w:t>
      </w:r>
    </w:p>
    <w:p w14:paraId="5992D792" w14:textId="77777777" w:rsidR="00B81252" w:rsidRDefault="00B81252" w:rsidP="00B81252"/>
    <w:p w14:paraId="3C6FFACE" w14:textId="4A544FC5" w:rsidR="00B81252" w:rsidRDefault="00B81252" w:rsidP="00B81252">
      <w:pPr>
        <w:pStyle w:val="Caption"/>
      </w:pPr>
      <w:bookmarkStart w:id="6" w:name="_Ref358185322"/>
      <w:r>
        <w:t xml:space="preserve">Table </w:t>
      </w:r>
      <w:r w:rsidR="00E75EB8">
        <w:fldChar w:fldCharType="begin"/>
      </w:r>
      <w:r w:rsidR="00E75EB8">
        <w:instrText xml:space="preserve"> SEQ Table \* ARABIC </w:instrText>
      </w:r>
      <w:r w:rsidR="00E75EB8">
        <w:fldChar w:fldCharType="separate"/>
      </w:r>
      <w:r w:rsidR="007317DF">
        <w:rPr>
          <w:noProof/>
        </w:rPr>
        <w:t>1</w:t>
      </w:r>
      <w:r w:rsidR="00E75EB8">
        <w:rPr>
          <w:noProof/>
        </w:rPr>
        <w:fldChar w:fldCharType="end"/>
      </w:r>
      <w:bookmarkEnd w:id="6"/>
      <w:r>
        <w:t xml:space="preserve"> Ratio of particulate density over our minimum “requirement” for various cleanliness levels, L</w:t>
      </w:r>
    </w:p>
    <w:tbl>
      <w:tblPr>
        <w:tblW w:w="3420" w:type="dxa"/>
        <w:tblInd w:w="108" w:type="dxa"/>
        <w:tblLook w:val="04A0" w:firstRow="1" w:lastRow="0" w:firstColumn="1" w:lastColumn="0" w:noHBand="0" w:noVBand="1"/>
      </w:tblPr>
      <w:tblGrid>
        <w:gridCol w:w="960"/>
        <w:gridCol w:w="2460"/>
      </w:tblGrid>
      <w:tr w:rsidR="00B81252" w:rsidRPr="00B81252" w14:paraId="4742FA22" w14:textId="77777777" w:rsidTr="00B81252">
        <w:trPr>
          <w:trHeight w:val="5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9D10" w14:textId="77777777" w:rsidR="00B81252" w:rsidRPr="00B81252" w:rsidRDefault="00B81252" w:rsidP="00B81252">
            <w:pPr>
              <w:jc w:val="center"/>
              <w:rPr>
                <w:rFonts w:ascii="Calibri" w:hAnsi="Calibri" w:cs="Calibri"/>
                <w:b/>
                <w:bCs/>
                <w:color w:val="000000"/>
                <w:sz w:val="22"/>
                <w:szCs w:val="22"/>
              </w:rPr>
            </w:pPr>
            <w:r w:rsidRPr="00B81252">
              <w:rPr>
                <w:rFonts w:ascii="Calibri" w:hAnsi="Calibri" w:cs="Calibri"/>
                <w:b/>
                <w:bCs/>
                <w:color w:val="000000"/>
                <w:sz w:val="22"/>
                <w:szCs w:val="22"/>
              </w:rPr>
              <w:t>L</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14:paraId="655D4C3F" w14:textId="77777777" w:rsidR="00B81252" w:rsidRPr="00B81252" w:rsidRDefault="00B81252" w:rsidP="00B81252">
            <w:pPr>
              <w:jc w:val="left"/>
              <w:rPr>
                <w:rFonts w:ascii="Calibri" w:hAnsi="Calibri" w:cs="Calibri"/>
                <w:b/>
                <w:bCs/>
                <w:color w:val="000000"/>
                <w:sz w:val="22"/>
                <w:szCs w:val="22"/>
              </w:rPr>
            </w:pPr>
            <w:r w:rsidRPr="00B81252">
              <w:rPr>
                <w:rFonts w:ascii="Calibri" w:hAnsi="Calibri" w:cs="Calibri"/>
                <w:b/>
                <w:bCs/>
                <w:color w:val="000000"/>
                <w:sz w:val="22"/>
                <w:szCs w:val="22"/>
              </w:rPr>
              <w:t>Density Factor</w:t>
            </w:r>
            <w:r w:rsidRPr="00B81252">
              <w:rPr>
                <w:rFonts w:ascii="Calibri" w:hAnsi="Calibri" w:cs="Calibri"/>
                <w:b/>
                <w:bCs/>
                <w:color w:val="000000"/>
                <w:sz w:val="22"/>
                <w:szCs w:val="22"/>
              </w:rPr>
              <w:br/>
              <w:t>above "Requirement"</w:t>
            </w:r>
          </w:p>
        </w:tc>
      </w:tr>
      <w:tr w:rsidR="00B81252" w:rsidRPr="00B81252" w14:paraId="384031C0"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82BDB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65</w:t>
            </w:r>
          </w:p>
        </w:tc>
        <w:tc>
          <w:tcPr>
            <w:tcW w:w="2460" w:type="dxa"/>
            <w:tcBorders>
              <w:top w:val="nil"/>
              <w:left w:val="nil"/>
              <w:bottom w:val="single" w:sz="4" w:space="0" w:color="auto"/>
              <w:right w:val="single" w:sz="4" w:space="0" w:color="auto"/>
            </w:tcBorders>
            <w:shd w:val="clear" w:color="auto" w:fill="auto"/>
            <w:noWrap/>
            <w:vAlign w:val="bottom"/>
            <w:hideMark/>
          </w:tcPr>
          <w:p w14:paraId="05B62899"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1</w:t>
            </w:r>
          </w:p>
        </w:tc>
      </w:tr>
      <w:tr w:rsidR="00B81252" w:rsidRPr="00B81252" w14:paraId="1973186B"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1671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100</w:t>
            </w:r>
          </w:p>
        </w:tc>
        <w:tc>
          <w:tcPr>
            <w:tcW w:w="2460" w:type="dxa"/>
            <w:tcBorders>
              <w:top w:val="nil"/>
              <w:left w:val="nil"/>
              <w:bottom w:val="single" w:sz="4" w:space="0" w:color="auto"/>
              <w:right w:val="single" w:sz="4" w:space="0" w:color="auto"/>
            </w:tcBorders>
            <w:shd w:val="clear" w:color="auto" w:fill="auto"/>
            <w:noWrap/>
            <w:vAlign w:val="bottom"/>
            <w:hideMark/>
          </w:tcPr>
          <w:p w14:paraId="439DD7F8"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5</w:t>
            </w:r>
          </w:p>
        </w:tc>
      </w:tr>
      <w:tr w:rsidR="00B81252" w:rsidRPr="00B81252" w14:paraId="59A54CC7"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C73B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150</w:t>
            </w:r>
          </w:p>
        </w:tc>
        <w:tc>
          <w:tcPr>
            <w:tcW w:w="2460" w:type="dxa"/>
            <w:tcBorders>
              <w:top w:val="nil"/>
              <w:left w:val="nil"/>
              <w:bottom w:val="single" w:sz="4" w:space="0" w:color="auto"/>
              <w:right w:val="single" w:sz="4" w:space="0" w:color="auto"/>
            </w:tcBorders>
            <w:shd w:val="clear" w:color="auto" w:fill="auto"/>
            <w:noWrap/>
            <w:vAlign w:val="bottom"/>
            <w:hideMark/>
          </w:tcPr>
          <w:p w14:paraId="14714D0B"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22</w:t>
            </w:r>
          </w:p>
        </w:tc>
      </w:tr>
      <w:tr w:rsidR="00B81252" w:rsidRPr="00B81252" w14:paraId="69E9908D"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7F4775"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200</w:t>
            </w:r>
          </w:p>
        </w:tc>
        <w:tc>
          <w:tcPr>
            <w:tcW w:w="2460" w:type="dxa"/>
            <w:tcBorders>
              <w:top w:val="nil"/>
              <w:left w:val="nil"/>
              <w:bottom w:val="single" w:sz="4" w:space="0" w:color="auto"/>
              <w:right w:val="single" w:sz="4" w:space="0" w:color="auto"/>
            </w:tcBorders>
            <w:shd w:val="clear" w:color="auto" w:fill="auto"/>
            <w:noWrap/>
            <w:vAlign w:val="bottom"/>
            <w:hideMark/>
          </w:tcPr>
          <w:p w14:paraId="6EE5332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72</w:t>
            </w:r>
          </w:p>
        </w:tc>
      </w:tr>
      <w:tr w:rsidR="00B81252" w:rsidRPr="00B81252" w14:paraId="7AAE5A52"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B6271"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300</w:t>
            </w:r>
          </w:p>
        </w:tc>
        <w:tc>
          <w:tcPr>
            <w:tcW w:w="2460" w:type="dxa"/>
            <w:tcBorders>
              <w:top w:val="nil"/>
              <w:left w:val="nil"/>
              <w:bottom w:val="single" w:sz="4" w:space="0" w:color="auto"/>
              <w:right w:val="single" w:sz="4" w:space="0" w:color="auto"/>
            </w:tcBorders>
            <w:shd w:val="clear" w:color="auto" w:fill="auto"/>
            <w:noWrap/>
            <w:vAlign w:val="bottom"/>
            <w:hideMark/>
          </w:tcPr>
          <w:p w14:paraId="0CDC4E23"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435</w:t>
            </w:r>
          </w:p>
        </w:tc>
      </w:tr>
      <w:tr w:rsidR="00B81252" w:rsidRPr="00B81252" w14:paraId="4E81BDA0"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BF22E"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500</w:t>
            </w:r>
          </w:p>
        </w:tc>
        <w:tc>
          <w:tcPr>
            <w:tcW w:w="2460" w:type="dxa"/>
            <w:tcBorders>
              <w:top w:val="nil"/>
              <w:left w:val="nil"/>
              <w:bottom w:val="single" w:sz="4" w:space="0" w:color="auto"/>
              <w:right w:val="single" w:sz="4" w:space="0" w:color="auto"/>
            </w:tcBorders>
            <w:shd w:val="clear" w:color="auto" w:fill="auto"/>
            <w:noWrap/>
            <w:vAlign w:val="bottom"/>
            <w:hideMark/>
          </w:tcPr>
          <w:p w14:paraId="641681E3"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5034</w:t>
            </w:r>
          </w:p>
        </w:tc>
      </w:tr>
      <w:tr w:rsidR="00B81252" w:rsidRPr="00B81252" w14:paraId="28928A69" w14:textId="77777777" w:rsidTr="00B8125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548CFF"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750</w:t>
            </w:r>
          </w:p>
        </w:tc>
        <w:tc>
          <w:tcPr>
            <w:tcW w:w="2460" w:type="dxa"/>
            <w:tcBorders>
              <w:top w:val="nil"/>
              <w:left w:val="nil"/>
              <w:bottom w:val="single" w:sz="4" w:space="0" w:color="auto"/>
              <w:right w:val="single" w:sz="4" w:space="0" w:color="auto"/>
            </w:tcBorders>
            <w:shd w:val="clear" w:color="auto" w:fill="auto"/>
            <w:noWrap/>
            <w:vAlign w:val="bottom"/>
            <w:hideMark/>
          </w:tcPr>
          <w:p w14:paraId="60B205BA" w14:textId="77777777" w:rsidR="00B81252" w:rsidRPr="00B81252" w:rsidRDefault="00B81252" w:rsidP="00B81252">
            <w:pPr>
              <w:jc w:val="right"/>
              <w:rPr>
                <w:rFonts w:ascii="Calibri" w:hAnsi="Calibri" w:cs="Calibri"/>
                <w:color w:val="000000"/>
                <w:sz w:val="22"/>
                <w:szCs w:val="22"/>
              </w:rPr>
            </w:pPr>
            <w:r w:rsidRPr="00B81252">
              <w:rPr>
                <w:rFonts w:ascii="Calibri" w:hAnsi="Calibri" w:cs="Calibri"/>
                <w:color w:val="000000"/>
                <w:sz w:val="22"/>
                <w:szCs w:val="22"/>
              </w:rPr>
              <w:t>40818</w:t>
            </w:r>
          </w:p>
        </w:tc>
      </w:tr>
    </w:tbl>
    <w:p w14:paraId="58BFEF31" w14:textId="77777777" w:rsidR="00B81252" w:rsidRDefault="00B81252" w:rsidP="00B81252"/>
    <w:p w14:paraId="2E9388B3" w14:textId="77777777" w:rsidR="002E484B" w:rsidRDefault="002E484B" w:rsidP="00B81252"/>
    <w:p w14:paraId="6CF01324" w14:textId="77777777" w:rsidR="002E484B" w:rsidRPr="00B81252" w:rsidRDefault="002E484B" w:rsidP="00B81252"/>
    <w:sectPr w:rsidR="002E484B" w:rsidRPr="00B81252" w:rsidSect="004E550E">
      <w:headerReference w:type="default" r:id="rId1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AD02F" w14:textId="77777777" w:rsidR="00E75EB8" w:rsidRDefault="00E75EB8" w:rsidP="0063053D">
      <w:r>
        <w:separator/>
      </w:r>
    </w:p>
  </w:endnote>
  <w:endnote w:type="continuationSeparator" w:id="0">
    <w:p w14:paraId="0E7CC44C" w14:textId="77777777" w:rsidR="00E75EB8" w:rsidRDefault="00E75EB8" w:rsidP="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hell Dlg 2">
    <w:panose1 w:val="020B0604030504040204"/>
    <w:charset w:val="00"/>
    <w:family w:val="swiss"/>
    <w:pitch w:val="variable"/>
    <w:sig w:usb0="E1002EFF" w:usb1="C000605B" w:usb2="00000029" w:usb3="00000000" w:csb0="000101FF" w:csb1="00000000"/>
  </w:font>
  <w:font w:name="Mathematica1">
    <w:panose1 w:val="050005020601000000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03FB" w14:textId="58993EF2" w:rsidR="004B7B3B" w:rsidRDefault="004B7B3B" w:rsidP="0063053D">
    <w:pPr>
      <w:pStyle w:val="Footer"/>
    </w:pPr>
    <w:r w:rsidRPr="00B5781C">
      <w:t>CALIFORNIA INSTITUTE OF TECHNOLOGY</w:t>
    </w:r>
  </w:p>
  <w:p w14:paraId="3C248E9F" w14:textId="77777777" w:rsidR="004B7B3B" w:rsidRPr="00B5781C" w:rsidRDefault="004B7B3B" w:rsidP="0063053D">
    <w:pPr>
      <w:pStyle w:val="Footer"/>
      <w:rPr>
        <w:rFonts w:cs="Arial"/>
        <w:i/>
        <w:iCs/>
      </w:rPr>
    </w:pPr>
    <w:r w:rsidRPr="004118D4">
      <w:rPr>
        <w:sz w:val="18"/>
      </w:rPr>
      <w:t>Form F0900023-v1</w:t>
    </w: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7317DF" w:rsidRPr="007317DF">
      <w:rPr>
        <w:b/>
        <w:bCs/>
        <w:noProof/>
      </w:rPr>
      <w:t>4</w:t>
    </w:r>
    <w:r w:rsidRPr="008E6250">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CAD2" w14:textId="77777777" w:rsidR="00E75EB8" w:rsidRDefault="00E75EB8" w:rsidP="0063053D">
      <w:r>
        <w:separator/>
      </w:r>
    </w:p>
  </w:footnote>
  <w:footnote w:type="continuationSeparator" w:id="0">
    <w:p w14:paraId="57B1C029" w14:textId="77777777" w:rsidR="00E75EB8" w:rsidRDefault="00E75EB8" w:rsidP="0063053D">
      <w:r>
        <w:continuationSeparator/>
      </w:r>
    </w:p>
  </w:footnote>
  <w:footnote w:id="1">
    <w:p w14:paraId="2A7B9A48" w14:textId="4947AD00" w:rsidR="00ED0C86" w:rsidRDefault="00ED0C86">
      <w:pPr>
        <w:pStyle w:val="FootnoteText"/>
      </w:pPr>
      <w:r>
        <w:rPr>
          <w:rStyle w:val="FootnoteReference"/>
        </w:rPr>
        <w:footnoteRef/>
      </w:r>
      <w:r>
        <w:t xml:space="preserve"> M. </w:t>
      </w:r>
      <w:proofErr w:type="spellStart"/>
      <w:r>
        <w:t>Zucker</w:t>
      </w:r>
      <w:proofErr w:type="spellEnd"/>
      <w:r>
        <w:t>, “</w:t>
      </w:r>
      <w:r w:rsidRPr="00ED0C86">
        <w:t>Protecting installed core optics from particulates</w:t>
      </w:r>
      <w:r>
        <w:t xml:space="preserve">”, T080067-v1, which in addition to defining particulate requirements, for both scatter and absorption consideration, also discussed the state of </w:t>
      </w:r>
      <w:bookmarkStart w:id="1" w:name="_GoBack"/>
      <w:r>
        <w:t>knowledge with regard to particulate size distributions and mitigation measures.</w:t>
      </w:r>
    </w:p>
    <w:bookmarkEnd w:id="1"/>
  </w:footnote>
  <w:footnote w:id="2">
    <w:p w14:paraId="288F670D" w14:textId="354E16B7" w:rsidR="00280C53" w:rsidRDefault="00280C53">
      <w:pPr>
        <w:pStyle w:val="FootnoteText"/>
      </w:pPr>
      <w:r>
        <w:rPr>
          <w:rStyle w:val="FootnoteReference"/>
        </w:rPr>
        <w:footnoteRef/>
      </w:r>
      <w:r>
        <w:t xml:space="preserve"> </w:t>
      </w:r>
      <w:r w:rsidR="00BB7B01">
        <w:rPr>
          <w:noProof/>
        </w:rPr>
        <w:drawing>
          <wp:inline distT="0" distB="0" distL="0" distR="0" wp14:anchorId="2AD853A6" wp14:editId="11630395">
            <wp:extent cx="167640" cy="146685"/>
            <wp:effectExtent l="0" t="0" r="3810" b="5715"/>
            <wp:docPr id="2" name="Picture 2" descr="http://www3.imperial.ac.uk/pls/portallive/docs/1/195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imperial.ac.uk/pls/portallive/docs/1/19539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02" cy="151639"/>
                    </a:xfrm>
                    <a:prstGeom prst="rect">
                      <a:avLst/>
                    </a:prstGeom>
                    <a:noFill/>
                    <a:ln>
                      <a:noFill/>
                    </a:ln>
                  </pic:spPr>
                </pic:pic>
              </a:graphicData>
            </a:graphic>
          </wp:inline>
        </w:drawing>
      </w:r>
      <w:r w:rsidR="00BB7B01">
        <w:t xml:space="preserve"> </w:t>
      </w:r>
      <w:r>
        <w:t xml:space="preserve">N.B.: Here I’m suggesting that “we”, </w:t>
      </w:r>
      <w:r w:rsidR="006D6B62">
        <w:t>Systems, ‘take’ the design margin that TCS designed into their subsystem. This is only possible if TCS exceeds their requirements and achieves their design goal. This suggested action is tantamount to a retro-active increase in requirements and should be taken cautiously, if at all.</w:t>
      </w:r>
    </w:p>
  </w:footnote>
  <w:footnote w:id="3">
    <w:p w14:paraId="6CD44A53" w14:textId="1FCD0A9B" w:rsidR="00C77415" w:rsidRDefault="00C77415">
      <w:pPr>
        <w:pStyle w:val="FootnoteText"/>
      </w:pPr>
      <w:r>
        <w:rPr>
          <w:rStyle w:val="FootnoteReference"/>
        </w:rPr>
        <w:footnoteRef/>
      </w:r>
      <w:r>
        <w:t xml:space="preserve"> </w:t>
      </w:r>
      <w:r w:rsidR="00BB7B01">
        <w:rPr>
          <w:noProof/>
        </w:rPr>
        <w:drawing>
          <wp:inline distT="0" distB="0" distL="0" distR="0" wp14:anchorId="6F78BDB6" wp14:editId="0612F1A5">
            <wp:extent cx="167640" cy="146685"/>
            <wp:effectExtent l="0" t="0" r="3810" b="5715"/>
            <wp:docPr id="3" name="Picture 3" descr="http://www3.imperial.ac.uk/pls/portallive/docs/1/195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imperial.ac.uk/pls/portallive/docs/1/19539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02" cy="151639"/>
                    </a:xfrm>
                    <a:prstGeom prst="rect">
                      <a:avLst/>
                    </a:prstGeom>
                    <a:noFill/>
                    <a:ln>
                      <a:noFill/>
                    </a:ln>
                  </pic:spPr>
                </pic:pic>
              </a:graphicData>
            </a:graphic>
          </wp:inline>
        </w:drawing>
      </w:r>
      <w:r w:rsidR="00BB7B01">
        <w:t xml:space="preserve"> </w:t>
      </w:r>
      <w:r>
        <w:t xml:space="preserve">N.B.: Here I am suggesting, perhaps in contradiction to some </w:t>
      </w:r>
      <w:proofErr w:type="spellStart"/>
      <w:r>
        <w:t>iLIGO</w:t>
      </w:r>
      <w:proofErr w:type="spellEnd"/>
      <w:r>
        <w:t xml:space="preserve"> observations, that hydrocarbon, or film, deposition on our optics is essentially not a problem. The relationship between hydrocarbon partial pressure and optical loss is still actively being examined at this time.</w:t>
      </w:r>
    </w:p>
  </w:footnote>
  <w:footnote w:id="4">
    <w:p w14:paraId="164059B9" w14:textId="0221E130" w:rsidR="00CD5309" w:rsidRDefault="00CD5309">
      <w:pPr>
        <w:pStyle w:val="FootnoteText"/>
      </w:pPr>
      <w:r>
        <w:rPr>
          <w:rStyle w:val="FootnoteReference"/>
        </w:rPr>
        <w:footnoteRef/>
      </w:r>
      <w:r>
        <w:t xml:space="preserve"> Product Cleanliness Levels and Contamination Control Program, Institute of Environmental Sciences and Technology (IEST), Contamination Control Division, Standard 1246D, (IETS-STD-CC1246D)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A53E" w14:textId="36251E46" w:rsidR="004B7B3B" w:rsidRPr="004C35A6" w:rsidRDefault="001644C5" w:rsidP="0063053D">
    <w:pPr>
      <w:pStyle w:val="Header"/>
    </w:pPr>
    <w:r>
      <w:t>T</w:t>
    </w:r>
    <w:r w:rsidR="00E16B5A">
      <w:t>1300</w:t>
    </w:r>
    <w:r>
      <w:t>511</w:t>
    </w:r>
    <w:r w:rsidR="00281923">
      <w:t>-</w:t>
    </w:r>
    <w:r>
      <w:t>v2</w:t>
    </w:r>
    <w:r w:rsidR="00E06748">
      <w:t xml:space="preserve">, </w:t>
    </w:r>
    <w:r w:rsidRPr="001644C5">
      <w:t>Particulate Contamination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C6F368"/>
    <w:lvl w:ilvl="0">
      <w:start w:val="1"/>
      <w:numFmt w:val="decimal"/>
      <w:lvlText w:val="%1."/>
      <w:lvlJc w:val="left"/>
      <w:pPr>
        <w:tabs>
          <w:tab w:val="num" w:pos="1800"/>
        </w:tabs>
        <w:ind w:left="1800" w:hanging="360"/>
      </w:pPr>
    </w:lvl>
  </w:abstractNum>
  <w:abstractNum w:abstractNumId="1">
    <w:nsid w:val="FFFFFF7D"/>
    <w:multiLevelType w:val="singleLevel"/>
    <w:tmpl w:val="6C3CBC6C"/>
    <w:lvl w:ilvl="0">
      <w:start w:val="1"/>
      <w:numFmt w:val="decimal"/>
      <w:lvlText w:val="%1."/>
      <w:lvlJc w:val="left"/>
      <w:pPr>
        <w:tabs>
          <w:tab w:val="num" w:pos="1440"/>
        </w:tabs>
        <w:ind w:left="1440" w:hanging="360"/>
      </w:pPr>
    </w:lvl>
  </w:abstractNum>
  <w:abstractNum w:abstractNumId="2">
    <w:nsid w:val="FFFFFF7E"/>
    <w:multiLevelType w:val="singleLevel"/>
    <w:tmpl w:val="AD341A62"/>
    <w:lvl w:ilvl="0">
      <w:start w:val="1"/>
      <w:numFmt w:val="decimal"/>
      <w:lvlText w:val="%1."/>
      <w:lvlJc w:val="left"/>
      <w:pPr>
        <w:tabs>
          <w:tab w:val="num" w:pos="1080"/>
        </w:tabs>
        <w:ind w:left="1080" w:hanging="360"/>
      </w:pPr>
    </w:lvl>
  </w:abstractNum>
  <w:abstractNum w:abstractNumId="3">
    <w:nsid w:val="FFFFFF7F"/>
    <w:multiLevelType w:val="singleLevel"/>
    <w:tmpl w:val="5EB84626"/>
    <w:lvl w:ilvl="0">
      <w:start w:val="1"/>
      <w:numFmt w:val="decimal"/>
      <w:lvlText w:val="%1."/>
      <w:lvlJc w:val="left"/>
      <w:pPr>
        <w:tabs>
          <w:tab w:val="num" w:pos="720"/>
        </w:tabs>
        <w:ind w:left="720" w:hanging="360"/>
      </w:pPr>
    </w:lvl>
  </w:abstractNum>
  <w:abstractNum w:abstractNumId="4">
    <w:nsid w:val="FFFFFF80"/>
    <w:multiLevelType w:val="singleLevel"/>
    <w:tmpl w:val="0A4695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4C36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CAA9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540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22D156"/>
    <w:lvl w:ilvl="0">
      <w:start w:val="1"/>
      <w:numFmt w:val="decimal"/>
      <w:lvlText w:val="%1."/>
      <w:lvlJc w:val="left"/>
      <w:pPr>
        <w:tabs>
          <w:tab w:val="num" w:pos="360"/>
        </w:tabs>
        <w:ind w:left="360" w:hanging="360"/>
      </w:pPr>
    </w:lvl>
  </w:abstractNum>
  <w:abstractNum w:abstractNumId="9">
    <w:nsid w:val="FFFFFF89"/>
    <w:multiLevelType w:val="singleLevel"/>
    <w:tmpl w:val="69041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717E62B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61365"/>
    <w:multiLevelType w:val="hybridMultilevel"/>
    <w:tmpl w:val="63E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5571EE"/>
    <w:multiLevelType w:val="hybridMultilevel"/>
    <w:tmpl w:val="FE2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54162"/>
    <w:multiLevelType w:val="hybridMultilevel"/>
    <w:tmpl w:val="1DCA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7F6E75"/>
    <w:multiLevelType w:val="hybridMultilevel"/>
    <w:tmpl w:val="502AD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070D2"/>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A55A6"/>
    <w:multiLevelType w:val="hybridMultilevel"/>
    <w:tmpl w:val="2CCE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97725"/>
    <w:multiLevelType w:val="hybridMultilevel"/>
    <w:tmpl w:val="AEF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356A8"/>
    <w:multiLevelType w:val="hybridMultilevel"/>
    <w:tmpl w:val="63D43A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992468"/>
    <w:multiLevelType w:val="hybridMultilevel"/>
    <w:tmpl w:val="D7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94DEC"/>
    <w:multiLevelType w:val="hybridMultilevel"/>
    <w:tmpl w:val="55BEE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54DEC"/>
    <w:multiLevelType w:val="hybridMultilevel"/>
    <w:tmpl w:val="D2D239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65313"/>
    <w:multiLevelType w:val="hybridMultilevel"/>
    <w:tmpl w:val="28440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D7EBE"/>
    <w:multiLevelType w:val="hybridMultilevel"/>
    <w:tmpl w:val="462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C4A2D"/>
    <w:multiLevelType w:val="hybridMultilevel"/>
    <w:tmpl w:val="C3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52AC4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67326"/>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81FA8"/>
    <w:multiLevelType w:val="hybridMultilevel"/>
    <w:tmpl w:val="6EA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A5BC8"/>
    <w:multiLevelType w:val="hybridMultilevel"/>
    <w:tmpl w:val="B24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75927"/>
    <w:multiLevelType w:val="hybridMultilevel"/>
    <w:tmpl w:val="BB72A798"/>
    <w:lvl w:ilvl="0" w:tplc="91981310">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A4024"/>
    <w:multiLevelType w:val="hybridMultilevel"/>
    <w:tmpl w:val="E92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D18DD"/>
    <w:multiLevelType w:val="hybridMultilevel"/>
    <w:tmpl w:val="12B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A7FAC"/>
    <w:multiLevelType w:val="multilevel"/>
    <w:tmpl w:val="A476F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5733B3"/>
    <w:multiLevelType w:val="hybridMultilevel"/>
    <w:tmpl w:val="309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247E7"/>
    <w:multiLevelType w:val="hybridMultilevel"/>
    <w:tmpl w:val="430A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D1E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E6207F"/>
    <w:multiLevelType w:val="hybridMultilevel"/>
    <w:tmpl w:val="D9F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0758C"/>
    <w:multiLevelType w:val="hybridMultilevel"/>
    <w:tmpl w:val="1E7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346D7"/>
    <w:multiLevelType w:val="hybridMultilevel"/>
    <w:tmpl w:val="AA72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D45E3"/>
    <w:multiLevelType w:val="hybridMultilevel"/>
    <w:tmpl w:val="C17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304D6"/>
    <w:multiLevelType w:val="hybridMultilevel"/>
    <w:tmpl w:val="8C7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4"/>
  </w:num>
  <w:num w:numId="4">
    <w:abstractNumId w:val="24"/>
  </w:num>
  <w:num w:numId="5">
    <w:abstractNumId w:val="41"/>
  </w:num>
  <w:num w:numId="6">
    <w:abstractNumId w:val="12"/>
  </w:num>
  <w:num w:numId="7">
    <w:abstractNumId w:val="23"/>
  </w:num>
  <w:num w:numId="8">
    <w:abstractNumId w:val="10"/>
  </w:num>
  <w:num w:numId="9">
    <w:abstractNumId w:val="40"/>
  </w:num>
  <w:num w:numId="10">
    <w:abstractNumId w:val="30"/>
  </w:num>
  <w:num w:numId="11">
    <w:abstractNumId w:val="28"/>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9"/>
  </w:num>
  <w:num w:numId="25">
    <w:abstractNumId w:val="26"/>
  </w:num>
  <w:num w:numId="26">
    <w:abstractNumId w:val="25"/>
  </w:num>
  <w:num w:numId="27">
    <w:abstractNumId w:val="36"/>
  </w:num>
  <w:num w:numId="28">
    <w:abstractNumId w:val="33"/>
  </w:num>
  <w:num w:numId="29">
    <w:abstractNumId w:val="31"/>
  </w:num>
  <w:num w:numId="30">
    <w:abstractNumId w:val="38"/>
  </w:num>
  <w:num w:numId="31">
    <w:abstractNumId w:val="34"/>
  </w:num>
  <w:num w:numId="32">
    <w:abstractNumId w:val="11"/>
  </w:num>
  <w:num w:numId="33">
    <w:abstractNumId w:val="21"/>
  </w:num>
  <w:num w:numId="34">
    <w:abstractNumId w:val="18"/>
  </w:num>
  <w:num w:numId="35">
    <w:abstractNumId w:val="20"/>
  </w:num>
  <w:num w:numId="36">
    <w:abstractNumId w:val="13"/>
  </w:num>
  <w:num w:numId="37">
    <w:abstractNumId w:val="22"/>
  </w:num>
  <w:num w:numId="38">
    <w:abstractNumId w:val="37"/>
  </w:num>
  <w:num w:numId="39">
    <w:abstractNumId w:val="35"/>
  </w:num>
  <w:num w:numId="40">
    <w:abstractNumId w:val="16"/>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24AF8"/>
    <w:rsid w:val="00026454"/>
    <w:rsid w:val="00042FB6"/>
    <w:rsid w:val="000565F0"/>
    <w:rsid w:val="00063B3C"/>
    <w:rsid w:val="00063DCF"/>
    <w:rsid w:val="0007564E"/>
    <w:rsid w:val="00085E94"/>
    <w:rsid w:val="0009053E"/>
    <w:rsid w:val="00097DA6"/>
    <w:rsid w:val="000A3EF6"/>
    <w:rsid w:val="000A520D"/>
    <w:rsid w:val="000A5C03"/>
    <w:rsid w:val="000D3430"/>
    <w:rsid w:val="000D5B92"/>
    <w:rsid w:val="000D7B47"/>
    <w:rsid w:val="000E4185"/>
    <w:rsid w:val="000E5EE6"/>
    <w:rsid w:val="0010182E"/>
    <w:rsid w:val="00107F5A"/>
    <w:rsid w:val="00126FDF"/>
    <w:rsid w:val="00155C89"/>
    <w:rsid w:val="001568F1"/>
    <w:rsid w:val="001644C5"/>
    <w:rsid w:val="001732E3"/>
    <w:rsid w:val="00183846"/>
    <w:rsid w:val="00186CAA"/>
    <w:rsid w:val="001A4131"/>
    <w:rsid w:val="001A5978"/>
    <w:rsid w:val="001B35CC"/>
    <w:rsid w:val="001B44F5"/>
    <w:rsid w:val="001C664A"/>
    <w:rsid w:val="001E0731"/>
    <w:rsid w:val="001E33D9"/>
    <w:rsid w:val="001E7F12"/>
    <w:rsid w:val="001F0106"/>
    <w:rsid w:val="00200765"/>
    <w:rsid w:val="00210308"/>
    <w:rsid w:val="0021178D"/>
    <w:rsid w:val="00223B91"/>
    <w:rsid w:val="002244B2"/>
    <w:rsid w:val="0023423F"/>
    <w:rsid w:val="002503F3"/>
    <w:rsid w:val="002506D2"/>
    <w:rsid w:val="00252795"/>
    <w:rsid w:val="00253690"/>
    <w:rsid w:val="00256361"/>
    <w:rsid w:val="00263CDC"/>
    <w:rsid w:val="002670AC"/>
    <w:rsid w:val="00280C53"/>
    <w:rsid w:val="00281923"/>
    <w:rsid w:val="002968A5"/>
    <w:rsid w:val="002A3708"/>
    <w:rsid w:val="002C18EE"/>
    <w:rsid w:val="002E484B"/>
    <w:rsid w:val="002E61BE"/>
    <w:rsid w:val="002F2C5F"/>
    <w:rsid w:val="00303999"/>
    <w:rsid w:val="00306B96"/>
    <w:rsid w:val="00306D68"/>
    <w:rsid w:val="003244A9"/>
    <w:rsid w:val="0033084C"/>
    <w:rsid w:val="0033462A"/>
    <w:rsid w:val="0034778D"/>
    <w:rsid w:val="00357315"/>
    <w:rsid w:val="0037033D"/>
    <w:rsid w:val="0037599B"/>
    <w:rsid w:val="0038078D"/>
    <w:rsid w:val="003A23CA"/>
    <w:rsid w:val="003B17E3"/>
    <w:rsid w:val="003C0F8E"/>
    <w:rsid w:val="003C1E63"/>
    <w:rsid w:val="004118D4"/>
    <w:rsid w:val="004371E8"/>
    <w:rsid w:val="00467EEC"/>
    <w:rsid w:val="00477DD2"/>
    <w:rsid w:val="004A58C3"/>
    <w:rsid w:val="004B34F9"/>
    <w:rsid w:val="004B447D"/>
    <w:rsid w:val="004B7B3B"/>
    <w:rsid w:val="004C35A6"/>
    <w:rsid w:val="004C4E7F"/>
    <w:rsid w:val="004C723B"/>
    <w:rsid w:val="004C7606"/>
    <w:rsid w:val="004E550E"/>
    <w:rsid w:val="00507E3A"/>
    <w:rsid w:val="00530957"/>
    <w:rsid w:val="005324AA"/>
    <w:rsid w:val="005564BE"/>
    <w:rsid w:val="0057103E"/>
    <w:rsid w:val="005802DB"/>
    <w:rsid w:val="005C5F1C"/>
    <w:rsid w:val="0063053D"/>
    <w:rsid w:val="0063302B"/>
    <w:rsid w:val="00686C7F"/>
    <w:rsid w:val="00697A05"/>
    <w:rsid w:val="006B178C"/>
    <w:rsid w:val="006B6D53"/>
    <w:rsid w:val="006D6987"/>
    <w:rsid w:val="006D6B62"/>
    <w:rsid w:val="00704347"/>
    <w:rsid w:val="00713535"/>
    <w:rsid w:val="007317DF"/>
    <w:rsid w:val="00741740"/>
    <w:rsid w:val="00743E32"/>
    <w:rsid w:val="007542BD"/>
    <w:rsid w:val="00754361"/>
    <w:rsid w:val="007679D8"/>
    <w:rsid w:val="00777B88"/>
    <w:rsid w:val="00787461"/>
    <w:rsid w:val="00792E84"/>
    <w:rsid w:val="0079332F"/>
    <w:rsid w:val="00795D6C"/>
    <w:rsid w:val="007E1B9A"/>
    <w:rsid w:val="007E7F57"/>
    <w:rsid w:val="007F00B4"/>
    <w:rsid w:val="00800BFD"/>
    <w:rsid w:val="008108A4"/>
    <w:rsid w:val="00812EEC"/>
    <w:rsid w:val="00825C2F"/>
    <w:rsid w:val="00826633"/>
    <w:rsid w:val="00842D61"/>
    <w:rsid w:val="00864A84"/>
    <w:rsid w:val="0087517C"/>
    <w:rsid w:val="008B4C41"/>
    <w:rsid w:val="008C3986"/>
    <w:rsid w:val="008E05EA"/>
    <w:rsid w:val="008E0908"/>
    <w:rsid w:val="008E1791"/>
    <w:rsid w:val="008E2B36"/>
    <w:rsid w:val="008E6250"/>
    <w:rsid w:val="008E776D"/>
    <w:rsid w:val="008F0F0C"/>
    <w:rsid w:val="00944022"/>
    <w:rsid w:val="00945849"/>
    <w:rsid w:val="009B4D4D"/>
    <w:rsid w:val="009B61AD"/>
    <w:rsid w:val="009D4D73"/>
    <w:rsid w:val="009E2D37"/>
    <w:rsid w:val="009F50FF"/>
    <w:rsid w:val="009F6F3C"/>
    <w:rsid w:val="00A00E73"/>
    <w:rsid w:val="00A71C17"/>
    <w:rsid w:val="00A868EC"/>
    <w:rsid w:val="00A874DC"/>
    <w:rsid w:val="00A912BE"/>
    <w:rsid w:val="00AC2C21"/>
    <w:rsid w:val="00AC7582"/>
    <w:rsid w:val="00AD52A9"/>
    <w:rsid w:val="00B15D31"/>
    <w:rsid w:val="00B176ED"/>
    <w:rsid w:val="00B52937"/>
    <w:rsid w:val="00B56E89"/>
    <w:rsid w:val="00B5781C"/>
    <w:rsid w:val="00B6042D"/>
    <w:rsid w:val="00B67F7F"/>
    <w:rsid w:val="00B773EE"/>
    <w:rsid w:val="00B81252"/>
    <w:rsid w:val="00B93C6A"/>
    <w:rsid w:val="00BA1900"/>
    <w:rsid w:val="00BB7B01"/>
    <w:rsid w:val="00C1370A"/>
    <w:rsid w:val="00C160B2"/>
    <w:rsid w:val="00C161A9"/>
    <w:rsid w:val="00C21367"/>
    <w:rsid w:val="00C26F14"/>
    <w:rsid w:val="00C27A1A"/>
    <w:rsid w:val="00C37689"/>
    <w:rsid w:val="00C43DBE"/>
    <w:rsid w:val="00C77415"/>
    <w:rsid w:val="00C81A47"/>
    <w:rsid w:val="00C96916"/>
    <w:rsid w:val="00CD3BA3"/>
    <w:rsid w:val="00CD5309"/>
    <w:rsid w:val="00CD7D43"/>
    <w:rsid w:val="00CE61AF"/>
    <w:rsid w:val="00D0068F"/>
    <w:rsid w:val="00D12409"/>
    <w:rsid w:val="00D24BC6"/>
    <w:rsid w:val="00D27313"/>
    <w:rsid w:val="00D620D0"/>
    <w:rsid w:val="00D67AB7"/>
    <w:rsid w:val="00D961DE"/>
    <w:rsid w:val="00DB5CDB"/>
    <w:rsid w:val="00DC2C9D"/>
    <w:rsid w:val="00DE45E9"/>
    <w:rsid w:val="00DE72BD"/>
    <w:rsid w:val="00E0645E"/>
    <w:rsid w:val="00E06748"/>
    <w:rsid w:val="00E16B5A"/>
    <w:rsid w:val="00E34B27"/>
    <w:rsid w:val="00E72A2E"/>
    <w:rsid w:val="00E75EB8"/>
    <w:rsid w:val="00E866F1"/>
    <w:rsid w:val="00E870C2"/>
    <w:rsid w:val="00E92A1D"/>
    <w:rsid w:val="00EC4E46"/>
    <w:rsid w:val="00ED0C86"/>
    <w:rsid w:val="00ED4513"/>
    <w:rsid w:val="00ED6F42"/>
    <w:rsid w:val="00ED79E6"/>
    <w:rsid w:val="00EE784F"/>
    <w:rsid w:val="00EF1BC6"/>
    <w:rsid w:val="00F03EFB"/>
    <w:rsid w:val="00F07999"/>
    <w:rsid w:val="00F17162"/>
    <w:rsid w:val="00F426AA"/>
    <w:rsid w:val="00F56A97"/>
    <w:rsid w:val="00F77056"/>
    <w:rsid w:val="00FE4BC9"/>
    <w:rsid w:val="00FF049E"/>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109C1"/>
  <w15:docId w15:val="{A4C7C7F4-178F-4486-8A36-68B15C54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3D"/>
    <w:pPr>
      <w:jc w:val="both"/>
    </w:pPr>
    <w:rPr>
      <w:rFonts w:ascii="Arial" w:hAnsi="Arial"/>
      <w:sz w:val="24"/>
      <w:szCs w:val="24"/>
    </w:rPr>
  </w:style>
  <w:style w:type="paragraph" w:styleId="Heading1">
    <w:name w:val="heading 1"/>
    <w:basedOn w:val="Normal"/>
    <w:next w:val="Normal"/>
    <w:qFormat/>
    <w:rsid w:val="00ED4513"/>
    <w:pPr>
      <w:keepNext/>
      <w:numPr>
        <w:numId w:val="26"/>
      </w:numPr>
      <w:outlineLvl w:val="0"/>
    </w:pPr>
    <w:rPr>
      <w:b/>
      <w:iCs/>
      <w:u w:val="single"/>
    </w:rPr>
  </w:style>
  <w:style w:type="paragraph" w:styleId="Heading2">
    <w:name w:val="heading 2"/>
    <w:basedOn w:val="Normal"/>
    <w:next w:val="Normal"/>
    <w:link w:val="Heading2Char"/>
    <w:unhideWhenUsed/>
    <w:qFormat/>
    <w:rsid w:val="00ED4513"/>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D4513"/>
    <w:pPr>
      <w:keepNext/>
      <w:keepLines/>
      <w:numPr>
        <w:ilvl w:val="2"/>
        <w:numId w:val="2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ED4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table" w:styleId="TableGrid">
    <w:name w:val="Table Grid"/>
    <w:basedOn w:val="TableNormal"/>
    <w:rsid w:val="00C96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bula.ligo.caltech.edu/optics/" TargetMode="External"/><Relationship Id="rId4" Type="http://schemas.openxmlformats.org/officeDocument/2006/relationships/settings" Target="settings.xml"/><Relationship Id="rId9" Type="http://schemas.openxmlformats.org/officeDocument/2006/relationships/hyperlink" Target="mailto:aligo_sys@ligo.caltech.ed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DD9A-A059-4562-B0B9-80BFAA54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Dennis Coyne</cp:lastModifiedBy>
  <cp:revision>4</cp:revision>
  <cp:lastPrinted>2014-06-06T22:30:00Z</cp:lastPrinted>
  <dcterms:created xsi:type="dcterms:W3CDTF">2014-06-06T22:29:00Z</dcterms:created>
  <dcterms:modified xsi:type="dcterms:W3CDTF">2014-06-06T22:30:00Z</dcterms:modified>
</cp:coreProperties>
</file>