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79" w:rsidRDefault="00564794" w:rsidP="00D34641">
      <w:pPr>
        <w:rPr>
          <w:b/>
        </w:rPr>
      </w:pPr>
      <w:r>
        <w:rPr>
          <w:b/>
        </w:rPr>
        <w:t xml:space="preserve">aLIGO Electronics Reliability </w:t>
      </w:r>
      <w:r w:rsidR="00A20A2C">
        <w:rPr>
          <w:b/>
        </w:rPr>
        <w:t>Calculations</w:t>
      </w:r>
      <w:bookmarkStart w:id="0" w:name="_GoBack"/>
      <w:bookmarkEnd w:id="0"/>
    </w:p>
    <w:p w:rsidR="00D34641" w:rsidRDefault="00D34641" w:rsidP="00D34641">
      <w:pPr>
        <w:rPr>
          <w:b/>
        </w:rPr>
      </w:pPr>
      <w:r>
        <w:rPr>
          <w:b/>
        </w:rPr>
        <w:t>R</w:t>
      </w:r>
      <w:r w:rsidR="005E0130">
        <w:rPr>
          <w:b/>
        </w:rPr>
        <w:t>ichard</w:t>
      </w:r>
      <w:r>
        <w:rPr>
          <w:b/>
        </w:rPr>
        <w:t xml:space="preserve"> Abbott</w:t>
      </w:r>
    </w:p>
    <w:p w:rsidR="00D34641" w:rsidRDefault="009F2048" w:rsidP="00D34641">
      <w:pPr>
        <w:rPr>
          <w:b/>
        </w:rPr>
      </w:pPr>
      <w:r>
        <w:rPr>
          <w:b/>
        </w:rPr>
        <w:t>21 January 2014</w:t>
      </w:r>
    </w:p>
    <w:p w:rsidR="00D34641" w:rsidRPr="00303C28" w:rsidRDefault="00D34641" w:rsidP="00D34641">
      <w:pPr>
        <w:rPr>
          <w:b/>
          <w:sz w:val="20"/>
          <w:szCs w:val="20"/>
        </w:rPr>
      </w:pPr>
    </w:p>
    <w:p w:rsidR="00686384" w:rsidRDefault="003B7542" w:rsidP="00EC4675">
      <w:pPr>
        <w:numPr>
          <w:ilvl w:val="0"/>
          <w:numId w:val="32"/>
        </w:numPr>
        <w:rPr>
          <w:b/>
        </w:rPr>
      </w:pPr>
      <w:r>
        <w:rPr>
          <w:b/>
        </w:rPr>
        <w:t>Overview</w:t>
      </w:r>
    </w:p>
    <w:p w:rsidR="00105906" w:rsidRDefault="00564794" w:rsidP="00C26BDB">
      <w:pPr>
        <w:ind w:firstLine="360"/>
      </w:pPr>
      <w:r>
        <w:t>In order to set a reasonable policy for the number of spare electronics to have on hand, it is necessary to have a sense for the predicted failure rates</w:t>
      </w:r>
      <w:r w:rsidR="00C26BDB">
        <w:t xml:space="preserve"> associated with custom aLIGO electronics</w:t>
      </w:r>
      <w:r>
        <w:t xml:space="preserve">.  There are many (perhaps hundreds) of different electronics designs in aLIGO, but in a broad sense the design practices </w:t>
      </w:r>
      <w:r w:rsidR="00C26BDB">
        <w:t>are</w:t>
      </w:r>
      <w:r>
        <w:t xml:space="preserve"> quite similar </w:t>
      </w:r>
      <w:r w:rsidR="00DE1D61">
        <w:t>providing</w:t>
      </w:r>
      <w:r>
        <w:t xml:space="preserve"> the possibility </w:t>
      </w:r>
      <w:r w:rsidR="00DE1D61">
        <w:t>for simplifying</w:t>
      </w:r>
      <w:r>
        <w:t xml:space="preserve"> </w:t>
      </w:r>
      <w:r w:rsidR="00DE1D61">
        <w:t>a</w:t>
      </w:r>
      <w:r>
        <w:t xml:space="preserve"> reliability analysis.  By use of carefully selected reference designs </w:t>
      </w:r>
      <w:r w:rsidR="00DE1D61">
        <w:t>ranging</w:t>
      </w:r>
      <w:r>
        <w:t xml:space="preserve"> from relatively simple in terms of component count, to relatively complex, a range of failure rates can be </w:t>
      </w:r>
      <w:r w:rsidR="00DE1D61">
        <w:t>calculated</w:t>
      </w:r>
      <w:r>
        <w:t xml:space="preserve"> and applied accordingly to designs of similar complexity.</w:t>
      </w:r>
      <w:r w:rsidR="00403F95" w:rsidRPr="00403F95">
        <w:t xml:space="preserve"> </w:t>
      </w:r>
    </w:p>
    <w:p w:rsidR="00DE1D61" w:rsidRDefault="00DE1D61" w:rsidP="00C26BDB">
      <w:pPr>
        <w:ind w:firstLine="360"/>
      </w:pPr>
      <w:r>
        <w:t>This note provides the background and sources for data used in the failure rate calculations.  The calculation method is shown for one canonical design, and the results for other designs of differing complexity are presented.  The accuracy of the failure analysis is compared to that obtained by use of a commercial reliability estimation software package using MIL-HDBK-217F</w:t>
      </w:r>
      <w:r w:rsidR="00C26BDB">
        <w:t>.</w:t>
      </w:r>
      <w:r>
        <w:t xml:space="preserve"> Bellcore</w:t>
      </w:r>
      <w:r w:rsidR="008A3AC6">
        <w:t xml:space="preserve"> TR-332 Issue 6</w:t>
      </w:r>
      <w:r>
        <w:t xml:space="preserve">, and </w:t>
      </w:r>
      <w:r w:rsidR="00C26BDB">
        <w:t>Telcordia SR-332 Issue 1 are alternate methods of doing reliability analyses.  The results from the MIL-HDBK-217F tend to be more pessimistic in terms of reliability, but comparisons of the results of each method was not significant enough to favor the other estimators over the pessimism and associated conservativeness of MIL-HDBK-217F.</w:t>
      </w:r>
    </w:p>
    <w:p w:rsidR="0060154A" w:rsidRDefault="0060154A" w:rsidP="00C26BDB">
      <w:pPr>
        <w:ind w:firstLine="360"/>
      </w:pPr>
      <w:r>
        <w:t>These types of predictions are typically used in a qualitative manner to guide general design choices.  An attempt was made to deliberately use pessimistic estimates, but a healthy degree of skepticism is reasonable in terms of absolute prediction accuracy.</w:t>
      </w:r>
    </w:p>
    <w:p w:rsidR="00051934" w:rsidRDefault="00051934" w:rsidP="00C26BDB">
      <w:pPr>
        <w:ind w:firstLine="360"/>
      </w:pPr>
    </w:p>
    <w:p w:rsidR="00A20A2C" w:rsidRDefault="00A20A2C" w:rsidP="00A20A2C">
      <w:pPr>
        <w:pStyle w:val="ListParagraph"/>
        <w:numPr>
          <w:ilvl w:val="0"/>
          <w:numId w:val="32"/>
        </w:numPr>
        <w:rPr>
          <w:b/>
        </w:rPr>
      </w:pPr>
      <w:r w:rsidRPr="00A20A2C">
        <w:rPr>
          <w:b/>
        </w:rPr>
        <w:t>Assumptions</w:t>
      </w:r>
      <w:r w:rsidR="00051934">
        <w:rPr>
          <w:b/>
        </w:rPr>
        <w:t xml:space="preserve"> Common to all Parts</w:t>
      </w:r>
    </w:p>
    <w:p w:rsidR="00A20A2C" w:rsidRPr="00A20A2C" w:rsidRDefault="00A20A2C" w:rsidP="00A20A2C">
      <w:pPr>
        <w:pStyle w:val="ListParagraph"/>
        <w:numPr>
          <w:ilvl w:val="1"/>
          <w:numId w:val="32"/>
        </w:numPr>
        <w:rPr>
          <w:b/>
        </w:rPr>
      </w:pPr>
      <w:r>
        <w:t xml:space="preserve">All linear operational amplifiers are assumed to fall in the category of Bipolar CMOS and to have a total transistor count of between 1 and 100.  This is certainly true of common </w:t>
      </w:r>
      <w:r w:rsidR="0060154A">
        <w:t xml:space="preserve">LIGO </w:t>
      </w:r>
      <w:r>
        <w:t>operational amplifiers.</w:t>
      </w:r>
    </w:p>
    <w:p w:rsidR="00A20A2C" w:rsidRPr="00586911" w:rsidRDefault="00A20A2C" w:rsidP="00A20A2C">
      <w:pPr>
        <w:pStyle w:val="ListParagraph"/>
        <w:numPr>
          <w:ilvl w:val="1"/>
          <w:numId w:val="32"/>
        </w:numPr>
        <w:rPr>
          <w:b/>
        </w:rPr>
      </w:pPr>
      <w:r>
        <w:t>Ambient</w:t>
      </w:r>
      <w:r w:rsidR="00586911">
        <w:t xml:space="preserve"> air temperature is assumed to be 45C inside a sealed chassis.</w:t>
      </w:r>
    </w:p>
    <w:p w:rsidR="00586911" w:rsidRPr="00586911" w:rsidRDefault="00586911" w:rsidP="00A20A2C">
      <w:pPr>
        <w:pStyle w:val="ListParagraph"/>
        <w:numPr>
          <w:ilvl w:val="1"/>
          <w:numId w:val="32"/>
        </w:numPr>
        <w:rPr>
          <w:b/>
        </w:rPr>
      </w:pPr>
      <w:r>
        <w:t>Connectors are not included in the reliability prediction due to the highly variable nature of their usage.  By design</w:t>
      </w:r>
      <w:r w:rsidR="003549BD">
        <w:t>,</w:t>
      </w:r>
      <w:r>
        <w:t xml:space="preserve"> an attempt is made to provide sufficient monitoring in aLIGO designs </w:t>
      </w:r>
      <w:r w:rsidR="0060154A">
        <w:t xml:space="preserve">such </w:t>
      </w:r>
      <w:r>
        <w:t xml:space="preserve">that repetitive connector manipulation is minimized.  </w:t>
      </w:r>
      <w:r w:rsidR="0060154A">
        <w:t>Feedback</w:t>
      </w:r>
      <w:r>
        <w:t xml:space="preserve"> will have to be made on a case by case basis as field experience is obtained.</w:t>
      </w:r>
    </w:p>
    <w:p w:rsidR="00586911" w:rsidRPr="00586911" w:rsidRDefault="00586911" w:rsidP="00A20A2C">
      <w:pPr>
        <w:pStyle w:val="ListParagraph"/>
        <w:numPr>
          <w:ilvl w:val="1"/>
          <w:numId w:val="32"/>
        </w:numPr>
        <w:rPr>
          <w:b/>
        </w:rPr>
      </w:pPr>
      <w:r>
        <w:t xml:space="preserve">Various parts such as: discrete diodes, inductors, LEDs, printed circuit board elements, solder joints, and wires are not included </w:t>
      </w:r>
      <w:r w:rsidR="00051934">
        <w:t xml:space="preserve">in the analysis as </w:t>
      </w:r>
      <w:r>
        <w:t>the probability of failure is not significant, or the parts are not critical to the continued operation of the device in question.</w:t>
      </w:r>
    </w:p>
    <w:p w:rsidR="00586911" w:rsidRPr="00051934" w:rsidRDefault="00586911" w:rsidP="00A20A2C">
      <w:pPr>
        <w:pStyle w:val="ListParagraph"/>
        <w:numPr>
          <w:ilvl w:val="1"/>
          <w:numId w:val="32"/>
        </w:numPr>
        <w:rPr>
          <w:b/>
        </w:rPr>
      </w:pPr>
      <w:r>
        <w:t xml:space="preserve">At time of writing, no attempt has been made to extend the scope of this analysis to commercial hardware.  Items such as these are best analyzed in </w:t>
      </w:r>
      <w:r w:rsidR="00BC6719">
        <w:t>conjunction with manufacturer’s field reliability data, if such data can be obtained.</w:t>
      </w:r>
    </w:p>
    <w:p w:rsidR="00CF3C1A" w:rsidRDefault="00051934" w:rsidP="00A20A2C">
      <w:pPr>
        <w:pStyle w:val="ListParagraph"/>
        <w:numPr>
          <w:ilvl w:val="1"/>
          <w:numId w:val="32"/>
        </w:numPr>
      </w:pPr>
      <w:r>
        <w:t xml:space="preserve">The environment </w:t>
      </w:r>
      <w:r w:rsidR="00CF3C1A">
        <w:t>in the parlance of MIL-HDBK-217F is considered</w:t>
      </w:r>
      <w:r>
        <w:t xml:space="preserve"> “Ground Benign” for all LIGO applications.  The specific numerical </w:t>
      </w:r>
      <w:r>
        <w:lastRenderedPageBreak/>
        <w:t>weighting of this assumption is detailed in the notes associated with each type of component.</w:t>
      </w:r>
    </w:p>
    <w:p w:rsidR="00CF3C1A" w:rsidRDefault="00CF3C1A"/>
    <w:p w:rsidR="00051934" w:rsidRPr="00681C5A" w:rsidRDefault="00051934" w:rsidP="00CF3C1A">
      <w:pPr>
        <w:pStyle w:val="ListParagraph"/>
        <w:ind w:left="1440"/>
        <w:rPr>
          <w:b/>
        </w:rPr>
      </w:pPr>
    </w:p>
    <w:p w:rsidR="00681C5A" w:rsidRDefault="00CF3C1A" w:rsidP="00681C5A">
      <w:pPr>
        <w:pStyle w:val="ListParagraph"/>
        <w:numPr>
          <w:ilvl w:val="0"/>
          <w:numId w:val="32"/>
        </w:numPr>
        <w:rPr>
          <w:b/>
        </w:rPr>
      </w:pPr>
      <w:r>
        <w:rPr>
          <w:b/>
        </w:rPr>
        <w:t>Individual Component Assumptions</w:t>
      </w:r>
    </w:p>
    <w:p w:rsidR="00CF3C1A" w:rsidRPr="00CF3C1A" w:rsidRDefault="00CF3C1A" w:rsidP="00CF3C1A">
      <w:pPr>
        <w:pStyle w:val="ListParagraph"/>
        <w:numPr>
          <w:ilvl w:val="1"/>
          <w:numId w:val="32"/>
        </w:numPr>
        <w:rPr>
          <w:b/>
        </w:rPr>
      </w:pPr>
      <w:r>
        <w:rPr>
          <w:b/>
        </w:rPr>
        <w:t>Operational Amplifiers (Opamps)</w:t>
      </w:r>
    </w:p>
    <w:p w:rsidR="00CF3C1A" w:rsidRDefault="00CF3C1A" w:rsidP="00CF3C1A">
      <w:pPr>
        <w:rPr>
          <w:b/>
        </w:rPr>
      </w:pPr>
    </w:p>
    <w:tbl>
      <w:tblPr>
        <w:tblStyle w:val="TableGrid"/>
        <w:tblW w:w="0" w:type="auto"/>
        <w:tblInd w:w="-16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0"/>
        <w:gridCol w:w="2160"/>
        <w:gridCol w:w="2610"/>
      </w:tblGrid>
      <w:tr w:rsidR="004B30FB" w:rsidTr="004C3A7E">
        <w:tc>
          <w:tcPr>
            <w:tcW w:w="4230" w:type="dxa"/>
          </w:tcPr>
          <w:p w:rsidR="004B30FB" w:rsidRDefault="004B30FB" w:rsidP="00CF3C1A">
            <w:pPr>
              <w:rPr>
                <w:b/>
              </w:rPr>
            </w:pPr>
            <w:r>
              <w:rPr>
                <w:b/>
              </w:rPr>
              <w:t>Parameter</w:t>
            </w:r>
          </w:p>
        </w:tc>
        <w:tc>
          <w:tcPr>
            <w:tcW w:w="2160" w:type="dxa"/>
          </w:tcPr>
          <w:p w:rsidR="004B30FB" w:rsidRDefault="004B30FB" w:rsidP="00CF3C1A">
            <w:pPr>
              <w:rPr>
                <w:b/>
              </w:rPr>
            </w:pPr>
            <w:r>
              <w:rPr>
                <w:b/>
              </w:rPr>
              <w:t>Assumed Value</w:t>
            </w:r>
          </w:p>
        </w:tc>
        <w:tc>
          <w:tcPr>
            <w:tcW w:w="2610" w:type="dxa"/>
          </w:tcPr>
          <w:p w:rsidR="004B30FB" w:rsidRDefault="004B30FB" w:rsidP="00CF3C1A">
            <w:pPr>
              <w:rPr>
                <w:b/>
              </w:rPr>
            </w:pPr>
            <w:r>
              <w:rPr>
                <w:b/>
              </w:rPr>
              <w:t>Comments</w:t>
            </w:r>
          </w:p>
        </w:tc>
      </w:tr>
      <w:tr w:rsidR="004B30FB" w:rsidTr="004C3A7E">
        <w:tc>
          <w:tcPr>
            <w:tcW w:w="4230" w:type="dxa"/>
            <w:vAlign w:val="center"/>
          </w:tcPr>
          <w:p w:rsidR="004B30FB" w:rsidRPr="004B30FB" w:rsidRDefault="004B30FB" w:rsidP="00633443">
            <w:r>
              <w:t>Power Dissipation</w:t>
            </w:r>
          </w:p>
        </w:tc>
        <w:tc>
          <w:tcPr>
            <w:tcW w:w="2160" w:type="dxa"/>
            <w:vAlign w:val="center"/>
          </w:tcPr>
          <w:p w:rsidR="004B30FB" w:rsidRPr="004B30FB" w:rsidRDefault="004B30FB" w:rsidP="00633443">
            <w:r>
              <w:t>0.1 Watts</w:t>
            </w:r>
          </w:p>
        </w:tc>
        <w:tc>
          <w:tcPr>
            <w:tcW w:w="2610" w:type="dxa"/>
            <w:vAlign w:val="center"/>
          </w:tcPr>
          <w:p w:rsidR="004B30FB" w:rsidRPr="004B30FB" w:rsidRDefault="004B30FB" w:rsidP="00633443">
            <w:r w:rsidRPr="004B30FB">
              <w:t>+/-15V at 5mA</w:t>
            </w:r>
          </w:p>
        </w:tc>
      </w:tr>
      <w:tr w:rsidR="004B30FB" w:rsidTr="004C3A7E">
        <w:tc>
          <w:tcPr>
            <w:tcW w:w="4230" w:type="dxa"/>
            <w:vAlign w:val="center"/>
          </w:tcPr>
          <w:p w:rsidR="004B30FB" w:rsidRPr="004B30FB" w:rsidRDefault="00633443" w:rsidP="00633443">
            <w:r>
              <w:t>Junction to Case Thermal Impedance</w:t>
            </w:r>
          </w:p>
        </w:tc>
        <w:tc>
          <w:tcPr>
            <w:tcW w:w="2160" w:type="dxa"/>
            <w:vAlign w:val="center"/>
          </w:tcPr>
          <w:p w:rsidR="004B30FB" w:rsidRPr="004B30FB" w:rsidRDefault="00633443" w:rsidP="00633443">
            <w:r>
              <w:t>43 C/Watt</w:t>
            </w:r>
          </w:p>
        </w:tc>
        <w:tc>
          <w:tcPr>
            <w:tcW w:w="2610" w:type="dxa"/>
            <w:vAlign w:val="center"/>
          </w:tcPr>
          <w:p w:rsidR="004B30FB" w:rsidRPr="004B30FB" w:rsidRDefault="00633443" w:rsidP="00633443">
            <w:r>
              <w:t>OP27 Datasheet</w:t>
            </w:r>
          </w:p>
        </w:tc>
      </w:tr>
      <w:tr w:rsidR="004B30FB" w:rsidTr="004C3A7E">
        <w:tc>
          <w:tcPr>
            <w:tcW w:w="4230" w:type="dxa"/>
            <w:vAlign w:val="center"/>
          </w:tcPr>
          <w:p w:rsidR="004B30FB" w:rsidRPr="004B30FB" w:rsidRDefault="00633443" w:rsidP="00633443">
            <w:r>
              <w:t>Junction to Ambient Thermal Impedance</w:t>
            </w:r>
          </w:p>
        </w:tc>
        <w:tc>
          <w:tcPr>
            <w:tcW w:w="2160" w:type="dxa"/>
            <w:vAlign w:val="center"/>
          </w:tcPr>
          <w:p w:rsidR="004B30FB" w:rsidRPr="004B30FB" w:rsidRDefault="00633443" w:rsidP="00633443">
            <w:r>
              <w:t>158 C/Watt</w:t>
            </w:r>
          </w:p>
        </w:tc>
        <w:tc>
          <w:tcPr>
            <w:tcW w:w="2610" w:type="dxa"/>
            <w:vAlign w:val="center"/>
          </w:tcPr>
          <w:p w:rsidR="004B30FB" w:rsidRPr="004B30FB" w:rsidRDefault="00633443" w:rsidP="00633443">
            <w:r>
              <w:t>OP27 Datasheet</w:t>
            </w:r>
          </w:p>
        </w:tc>
      </w:tr>
      <w:tr w:rsidR="004B30FB" w:rsidTr="004C3A7E">
        <w:tc>
          <w:tcPr>
            <w:tcW w:w="4230" w:type="dxa"/>
            <w:vAlign w:val="center"/>
          </w:tcPr>
          <w:p w:rsidR="004B30FB" w:rsidRPr="004B30FB" w:rsidRDefault="00633443" w:rsidP="00633443">
            <w:r>
              <w:t>Package Type</w:t>
            </w:r>
          </w:p>
        </w:tc>
        <w:tc>
          <w:tcPr>
            <w:tcW w:w="2160" w:type="dxa"/>
            <w:vAlign w:val="center"/>
          </w:tcPr>
          <w:p w:rsidR="004B30FB" w:rsidRPr="004B30FB" w:rsidRDefault="00633443" w:rsidP="00633443">
            <w:r>
              <w:t>8 Lead SO Package</w:t>
            </w:r>
          </w:p>
        </w:tc>
        <w:tc>
          <w:tcPr>
            <w:tcW w:w="2610" w:type="dxa"/>
            <w:vAlign w:val="center"/>
          </w:tcPr>
          <w:p w:rsidR="004B30FB" w:rsidRPr="004B30FB" w:rsidRDefault="007230AE" w:rsidP="00633443">
            <w:r>
              <w:t>Common LIGO parts</w:t>
            </w:r>
          </w:p>
        </w:tc>
      </w:tr>
      <w:tr w:rsidR="00633443" w:rsidTr="004C3A7E">
        <w:tc>
          <w:tcPr>
            <w:tcW w:w="4230" w:type="dxa"/>
            <w:vAlign w:val="center"/>
          </w:tcPr>
          <w:p w:rsidR="00633443" w:rsidRPr="004B30FB" w:rsidRDefault="00633443" w:rsidP="00196C43">
            <w:r>
              <w:t>Device Base Failure Rate</w:t>
            </w:r>
            <w:r w:rsidR="004C3A7E">
              <w:t xml:space="preserve"> (C1)</w:t>
            </w:r>
          </w:p>
        </w:tc>
        <w:tc>
          <w:tcPr>
            <w:tcW w:w="2160" w:type="dxa"/>
            <w:vAlign w:val="center"/>
          </w:tcPr>
          <w:p w:rsidR="00633443" w:rsidRPr="004B30FB" w:rsidRDefault="00633443" w:rsidP="00196C43">
            <w:r>
              <w:t>0.011 per 10</w:t>
            </w:r>
            <w:r w:rsidRPr="00633443">
              <w:rPr>
                <w:vertAlign w:val="superscript"/>
              </w:rPr>
              <w:t>6</w:t>
            </w:r>
            <w:r>
              <w:t xml:space="preserve"> hours</w:t>
            </w:r>
          </w:p>
        </w:tc>
        <w:tc>
          <w:tcPr>
            <w:tcW w:w="2610" w:type="dxa"/>
            <w:vAlign w:val="center"/>
          </w:tcPr>
          <w:p w:rsidR="00633443" w:rsidRPr="004B30FB" w:rsidRDefault="00633443" w:rsidP="00196C43">
            <w:r>
              <w:t>Texas Instruments OP27 Reliability Data</w:t>
            </w:r>
          </w:p>
        </w:tc>
      </w:tr>
      <w:tr w:rsidR="004C3A7E" w:rsidTr="004C3A7E">
        <w:tc>
          <w:tcPr>
            <w:tcW w:w="4230" w:type="dxa"/>
            <w:vAlign w:val="center"/>
          </w:tcPr>
          <w:p w:rsidR="004C3A7E" w:rsidRPr="004B30FB" w:rsidRDefault="004C3A7E" w:rsidP="00196C43">
            <w:r>
              <w:t>Package Failure Rate, 7 active pins (C2)</w:t>
            </w:r>
          </w:p>
        </w:tc>
        <w:tc>
          <w:tcPr>
            <w:tcW w:w="2160" w:type="dxa"/>
            <w:vAlign w:val="center"/>
          </w:tcPr>
          <w:p w:rsidR="004C3A7E" w:rsidRPr="004B30FB" w:rsidRDefault="004C3A7E" w:rsidP="00196C43">
            <w:r>
              <w:t>0.0023 per 10</w:t>
            </w:r>
            <w:r w:rsidRPr="00633443">
              <w:rPr>
                <w:vertAlign w:val="superscript"/>
              </w:rPr>
              <w:t>6</w:t>
            </w:r>
            <w:r>
              <w:t xml:space="preserve"> hours</w:t>
            </w:r>
          </w:p>
        </w:tc>
        <w:tc>
          <w:tcPr>
            <w:tcW w:w="2610" w:type="dxa"/>
            <w:vAlign w:val="center"/>
          </w:tcPr>
          <w:p w:rsidR="004C3A7E" w:rsidRPr="004B30FB" w:rsidRDefault="004C3A7E" w:rsidP="00196C43">
            <w:r>
              <w:t>MIL-HDBK-217, Section 5.9</w:t>
            </w:r>
          </w:p>
        </w:tc>
      </w:tr>
      <w:tr w:rsidR="004C3A7E" w:rsidTr="004C3A7E">
        <w:tc>
          <w:tcPr>
            <w:tcW w:w="4230" w:type="dxa"/>
            <w:vAlign w:val="center"/>
          </w:tcPr>
          <w:p w:rsidR="004C3A7E" w:rsidRPr="004B30FB" w:rsidRDefault="004C3A7E" w:rsidP="00196C43">
            <w:r>
              <w:t>Temperature Factor (π-T)</w:t>
            </w:r>
          </w:p>
        </w:tc>
        <w:tc>
          <w:tcPr>
            <w:tcW w:w="2160" w:type="dxa"/>
            <w:vAlign w:val="center"/>
          </w:tcPr>
          <w:p w:rsidR="004C3A7E" w:rsidRPr="004B30FB" w:rsidRDefault="004C3A7E" w:rsidP="00196C43">
            <w:r>
              <w:t>2</w:t>
            </w:r>
          </w:p>
        </w:tc>
        <w:tc>
          <w:tcPr>
            <w:tcW w:w="2610" w:type="dxa"/>
            <w:vAlign w:val="center"/>
          </w:tcPr>
          <w:p w:rsidR="004C3A7E" w:rsidRPr="004B30FB" w:rsidRDefault="004C3A7E" w:rsidP="00196C43">
            <w:r>
              <w:t>MIL-HDBK-217, Section 5.8, 65C Junction Temp.</w:t>
            </w:r>
          </w:p>
        </w:tc>
      </w:tr>
      <w:tr w:rsidR="004C3A7E" w:rsidTr="004C3A7E">
        <w:tc>
          <w:tcPr>
            <w:tcW w:w="4230" w:type="dxa"/>
            <w:vAlign w:val="center"/>
          </w:tcPr>
          <w:p w:rsidR="004C3A7E" w:rsidRPr="004B30FB" w:rsidRDefault="004C3A7E" w:rsidP="00633443">
            <w:r>
              <w:t>Environment Factor (π-E)</w:t>
            </w:r>
          </w:p>
        </w:tc>
        <w:tc>
          <w:tcPr>
            <w:tcW w:w="2160" w:type="dxa"/>
            <w:vAlign w:val="center"/>
          </w:tcPr>
          <w:p w:rsidR="004C3A7E" w:rsidRPr="004B30FB" w:rsidRDefault="004C3A7E" w:rsidP="00633443">
            <w:r>
              <w:t>0.5</w:t>
            </w:r>
          </w:p>
        </w:tc>
        <w:tc>
          <w:tcPr>
            <w:tcW w:w="2610" w:type="dxa"/>
            <w:vAlign w:val="center"/>
          </w:tcPr>
          <w:p w:rsidR="004C3A7E" w:rsidRPr="004B30FB" w:rsidRDefault="004C3A7E" w:rsidP="00633443">
            <w:r>
              <w:t>Ground Benign</w:t>
            </w:r>
          </w:p>
        </w:tc>
      </w:tr>
      <w:tr w:rsidR="004C3A7E" w:rsidTr="004C3A7E">
        <w:tc>
          <w:tcPr>
            <w:tcW w:w="4230" w:type="dxa"/>
            <w:vAlign w:val="center"/>
          </w:tcPr>
          <w:p w:rsidR="004C3A7E" w:rsidRPr="004C3A7E" w:rsidRDefault="004C3A7E" w:rsidP="00633443">
            <w:r>
              <w:t>Quality Factor (π-Q)</w:t>
            </w:r>
          </w:p>
        </w:tc>
        <w:tc>
          <w:tcPr>
            <w:tcW w:w="2160" w:type="dxa"/>
            <w:vAlign w:val="center"/>
          </w:tcPr>
          <w:p w:rsidR="004C3A7E" w:rsidRPr="004C3A7E" w:rsidRDefault="004C3A7E" w:rsidP="00633443">
            <w:r>
              <w:t>1</w:t>
            </w:r>
          </w:p>
        </w:tc>
        <w:tc>
          <w:tcPr>
            <w:tcW w:w="2610" w:type="dxa"/>
            <w:vAlign w:val="center"/>
          </w:tcPr>
          <w:p w:rsidR="004C3A7E" w:rsidRPr="004C3A7E" w:rsidRDefault="004C3A7E" w:rsidP="00633443">
            <w:r>
              <w:t>Manufacturer’s Failure Rate has Quality Factor Included</w:t>
            </w:r>
          </w:p>
        </w:tc>
      </w:tr>
      <w:tr w:rsidR="004C3A7E" w:rsidTr="004C3A7E">
        <w:tc>
          <w:tcPr>
            <w:tcW w:w="4230" w:type="dxa"/>
            <w:vAlign w:val="center"/>
          </w:tcPr>
          <w:p w:rsidR="004C3A7E" w:rsidRDefault="004C3A7E" w:rsidP="00633443">
            <w:r>
              <w:t>Learning Factor (π-L)</w:t>
            </w:r>
          </w:p>
        </w:tc>
        <w:tc>
          <w:tcPr>
            <w:tcW w:w="2160" w:type="dxa"/>
            <w:vAlign w:val="center"/>
          </w:tcPr>
          <w:p w:rsidR="004C3A7E" w:rsidRDefault="004C3A7E" w:rsidP="00633443">
            <w:r>
              <w:t>1</w:t>
            </w:r>
          </w:p>
        </w:tc>
        <w:tc>
          <w:tcPr>
            <w:tcW w:w="2610" w:type="dxa"/>
            <w:vAlign w:val="center"/>
          </w:tcPr>
          <w:p w:rsidR="004C3A7E" w:rsidRDefault="004C3A7E" w:rsidP="00633443">
            <w:r>
              <w:t>Part has been in production &gt; 2years</w:t>
            </w:r>
          </w:p>
        </w:tc>
      </w:tr>
    </w:tbl>
    <w:p w:rsidR="00CF3C1A" w:rsidRDefault="00CF3C1A" w:rsidP="004C3A7E">
      <w:pPr>
        <w:rPr>
          <w:b/>
        </w:rPr>
      </w:pPr>
    </w:p>
    <w:p w:rsidR="004165B0" w:rsidRDefault="004165B0" w:rsidP="004165B0">
      <w:pPr>
        <w:jc w:val="center"/>
        <w:rPr>
          <w:b/>
        </w:rPr>
      </w:pPr>
    </w:p>
    <w:p w:rsidR="004165B0" w:rsidRDefault="004165B0" w:rsidP="004165B0">
      <w:pPr>
        <w:jc w:val="center"/>
        <w:rPr>
          <w:b/>
        </w:rPr>
      </w:pPr>
      <w:r>
        <w:rPr>
          <w:b/>
        </w:rPr>
        <w:t>General Form of Opamp Failure Rate</w:t>
      </w:r>
      <w:r w:rsidR="004C5114">
        <w:rPr>
          <w:b/>
        </w:rPr>
        <w:t xml:space="preserve"> (failures per 10</w:t>
      </w:r>
      <w:r w:rsidR="004C5114" w:rsidRPr="004C5114">
        <w:rPr>
          <w:b/>
          <w:vertAlign w:val="superscript"/>
        </w:rPr>
        <w:t>6</w:t>
      </w:r>
      <w:r w:rsidR="004C5114">
        <w:rPr>
          <w:b/>
        </w:rPr>
        <w:t xml:space="preserve"> hours)</w:t>
      </w:r>
    </w:p>
    <w:p w:rsidR="004165B0" w:rsidRDefault="004165B0" w:rsidP="004C3A7E">
      <w:pPr>
        <w:rPr>
          <w:b/>
        </w:rPr>
      </w:pPr>
    </w:p>
    <w:p w:rsidR="004C3A7E" w:rsidRPr="004165B0" w:rsidRDefault="00100149" w:rsidP="004C3A7E">
      <m:oMathPara>
        <m:oMathParaPr>
          <m:jc m:val="center"/>
        </m:oMathParaPr>
        <m:oMath>
          <m:sSub>
            <m:sSubPr>
              <m:ctrlPr>
                <w:rPr>
                  <w:rFonts w:ascii="Cambria Math" w:hAnsi="Cambria Math"/>
                  <w:i/>
                </w:rPr>
              </m:ctrlPr>
            </m:sSubPr>
            <m:e>
              <m:r>
                <m:rPr>
                  <m:nor/>
                </m:rPr>
                <w:rPr>
                  <w:rFonts w:ascii="Cambria Math" w:hAnsi="Cambria Math"/>
                </w:rPr>
                <m:t>λ</m:t>
              </m:r>
            </m:e>
            <m:sub>
              <m:r>
                <w:rPr>
                  <w:rFonts w:ascii="Cambria Math" w:hAnsi="Cambria Math"/>
                </w:rPr>
                <m:t>p</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π</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π</m:t>
                  </m:r>
                </m:e>
                <m:sub>
                  <m:r>
                    <w:rPr>
                      <w:rFonts w:ascii="Cambria Math" w:hAnsi="Cambria Math"/>
                    </w:rPr>
                    <m:t>E</m:t>
                  </m:r>
                </m:sub>
              </m:sSub>
            </m:e>
          </m:d>
          <m:sSub>
            <m:sSubPr>
              <m:ctrlPr>
                <w:rPr>
                  <w:rFonts w:ascii="Cambria Math" w:hAnsi="Cambria Math"/>
                  <w:i/>
                </w:rPr>
              </m:ctrlPr>
            </m:sSubPr>
            <m:e>
              <m:r>
                <w:rPr>
                  <w:rFonts w:ascii="Cambria Math" w:hAnsi="Cambria Math"/>
                </w:rPr>
                <m:t>π</m:t>
              </m:r>
            </m:e>
            <m:sub>
              <m:r>
                <w:rPr>
                  <w:rFonts w:ascii="Cambria Math" w:hAnsi="Cambria Math"/>
                </w:rPr>
                <m:t>Q</m:t>
              </m:r>
            </m:sub>
          </m:sSub>
          <m:sSub>
            <m:sSubPr>
              <m:ctrlPr>
                <w:rPr>
                  <w:rFonts w:ascii="Cambria Math" w:hAnsi="Cambria Math"/>
                  <w:i/>
                </w:rPr>
              </m:ctrlPr>
            </m:sSubPr>
            <m:e>
              <m:r>
                <w:rPr>
                  <w:rFonts w:ascii="Cambria Math" w:hAnsi="Cambria Math"/>
                </w:rPr>
                <m:t>π</m:t>
              </m:r>
            </m:e>
            <m:sub>
              <m:r>
                <w:rPr>
                  <w:rFonts w:ascii="Cambria Math" w:hAnsi="Cambria Math"/>
                </w:rPr>
                <m:t>E</m:t>
              </m:r>
            </m:sub>
          </m:sSub>
        </m:oMath>
      </m:oMathPara>
    </w:p>
    <w:p w:rsidR="004165B0" w:rsidRPr="004165B0" w:rsidRDefault="004165B0" w:rsidP="004C3A7E"/>
    <w:p w:rsidR="004165B0" w:rsidRPr="00CF3C1A" w:rsidRDefault="004165B0" w:rsidP="004C5114">
      <w:pPr>
        <w:pStyle w:val="ListParagraph"/>
        <w:numPr>
          <w:ilvl w:val="1"/>
          <w:numId w:val="32"/>
        </w:numPr>
        <w:rPr>
          <w:b/>
        </w:rPr>
      </w:pPr>
      <w:r>
        <w:rPr>
          <w:b/>
        </w:rPr>
        <w:t>Chip Resistors</w:t>
      </w:r>
    </w:p>
    <w:p w:rsidR="004165B0" w:rsidRDefault="004165B0" w:rsidP="004165B0">
      <w:pPr>
        <w:rPr>
          <w:b/>
        </w:rPr>
      </w:pPr>
    </w:p>
    <w:tbl>
      <w:tblPr>
        <w:tblStyle w:val="TableGrid"/>
        <w:tblW w:w="0" w:type="auto"/>
        <w:tblInd w:w="-16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0"/>
        <w:gridCol w:w="2160"/>
        <w:gridCol w:w="2610"/>
      </w:tblGrid>
      <w:tr w:rsidR="004165B0" w:rsidTr="00196C43">
        <w:tc>
          <w:tcPr>
            <w:tcW w:w="4230" w:type="dxa"/>
          </w:tcPr>
          <w:p w:rsidR="004165B0" w:rsidRDefault="004165B0" w:rsidP="00196C43">
            <w:pPr>
              <w:rPr>
                <w:b/>
              </w:rPr>
            </w:pPr>
            <w:r>
              <w:rPr>
                <w:b/>
              </w:rPr>
              <w:t>Parameter</w:t>
            </w:r>
          </w:p>
        </w:tc>
        <w:tc>
          <w:tcPr>
            <w:tcW w:w="2160" w:type="dxa"/>
          </w:tcPr>
          <w:p w:rsidR="004165B0" w:rsidRDefault="004165B0" w:rsidP="00196C43">
            <w:pPr>
              <w:rPr>
                <w:b/>
              </w:rPr>
            </w:pPr>
            <w:r>
              <w:rPr>
                <w:b/>
              </w:rPr>
              <w:t>Assumed Value</w:t>
            </w:r>
          </w:p>
        </w:tc>
        <w:tc>
          <w:tcPr>
            <w:tcW w:w="2610" w:type="dxa"/>
          </w:tcPr>
          <w:p w:rsidR="004165B0" w:rsidRDefault="004165B0" w:rsidP="00196C43">
            <w:pPr>
              <w:rPr>
                <w:b/>
              </w:rPr>
            </w:pPr>
            <w:r>
              <w:rPr>
                <w:b/>
              </w:rPr>
              <w:t>Comments</w:t>
            </w:r>
          </w:p>
        </w:tc>
      </w:tr>
      <w:tr w:rsidR="004165B0" w:rsidTr="00196C43">
        <w:tc>
          <w:tcPr>
            <w:tcW w:w="4230" w:type="dxa"/>
            <w:vAlign w:val="center"/>
          </w:tcPr>
          <w:p w:rsidR="004165B0" w:rsidRPr="004B30FB" w:rsidRDefault="004165B0" w:rsidP="00196C43">
            <w:r>
              <w:t>Power Dissipation</w:t>
            </w:r>
          </w:p>
        </w:tc>
        <w:tc>
          <w:tcPr>
            <w:tcW w:w="2160" w:type="dxa"/>
            <w:vAlign w:val="center"/>
          </w:tcPr>
          <w:p w:rsidR="004165B0" w:rsidRPr="004B30FB" w:rsidRDefault="004165B0" w:rsidP="004165B0">
            <w:r>
              <w:t>0.05 Watts</w:t>
            </w:r>
          </w:p>
        </w:tc>
        <w:tc>
          <w:tcPr>
            <w:tcW w:w="2610" w:type="dxa"/>
            <w:vAlign w:val="center"/>
          </w:tcPr>
          <w:p w:rsidR="004165B0" w:rsidRPr="004B30FB" w:rsidRDefault="004165B0" w:rsidP="004165B0">
            <w:r>
              <w:t>500Ω</w:t>
            </w:r>
            <w:r w:rsidRPr="004B30FB">
              <w:t xml:space="preserve"> at </w:t>
            </w:r>
            <w:r>
              <w:t>10</w:t>
            </w:r>
            <w:r w:rsidRPr="004B30FB">
              <w:t>mA</w:t>
            </w:r>
          </w:p>
        </w:tc>
      </w:tr>
      <w:tr w:rsidR="005F3284" w:rsidTr="00196C43">
        <w:tc>
          <w:tcPr>
            <w:tcW w:w="4230" w:type="dxa"/>
            <w:vAlign w:val="center"/>
          </w:tcPr>
          <w:p w:rsidR="005F3284" w:rsidRPr="004B30FB" w:rsidRDefault="005F3284" w:rsidP="00196C43">
            <w:r>
              <w:t>Package Type</w:t>
            </w:r>
          </w:p>
        </w:tc>
        <w:tc>
          <w:tcPr>
            <w:tcW w:w="2160" w:type="dxa"/>
            <w:vAlign w:val="center"/>
          </w:tcPr>
          <w:p w:rsidR="005F3284" w:rsidRPr="004B30FB" w:rsidRDefault="005754B2" w:rsidP="00196C43">
            <w:r>
              <w:t>3216 (1206)</w:t>
            </w:r>
          </w:p>
        </w:tc>
        <w:tc>
          <w:tcPr>
            <w:tcW w:w="2610" w:type="dxa"/>
            <w:vAlign w:val="center"/>
          </w:tcPr>
          <w:p w:rsidR="005F3284" w:rsidRPr="004B30FB" w:rsidRDefault="005754B2" w:rsidP="00196C43">
            <w:r>
              <w:t>Surface Mount Resistor</w:t>
            </w:r>
          </w:p>
        </w:tc>
      </w:tr>
      <w:tr w:rsidR="005F3284" w:rsidTr="00196C43">
        <w:tc>
          <w:tcPr>
            <w:tcW w:w="4230" w:type="dxa"/>
            <w:vAlign w:val="center"/>
          </w:tcPr>
          <w:p w:rsidR="005F3284" w:rsidRPr="004B30FB" w:rsidRDefault="005F3284" w:rsidP="00196C43">
            <w:r>
              <w:t xml:space="preserve">Device Base Failure Rate </w:t>
            </w:r>
            <w:r w:rsidR="00EE3641">
              <w:t>(λ</w:t>
            </w:r>
            <w:r w:rsidR="00EE3641" w:rsidRPr="00EE3641">
              <w:rPr>
                <w:vertAlign w:val="subscript"/>
              </w:rPr>
              <w:t>B</w:t>
            </w:r>
            <w:r w:rsidR="00EE3641">
              <w:t>)</w:t>
            </w:r>
          </w:p>
        </w:tc>
        <w:tc>
          <w:tcPr>
            <w:tcW w:w="2160" w:type="dxa"/>
            <w:vAlign w:val="center"/>
          </w:tcPr>
          <w:p w:rsidR="005F3284" w:rsidRPr="004B30FB" w:rsidRDefault="005F3284" w:rsidP="00196C43">
            <w:r>
              <w:t>0.0</w:t>
            </w:r>
            <w:r w:rsidR="005754B2">
              <w:t>012</w:t>
            </w:r>
            <w:r>
              <w:t xml:space="preserve"> per 10</w:t>
            </w:r>
            <w:r w:rsidRPr="00633443">
              <w:rPr>
                <w:vertAlign w:val="superscript"/>
              </w:rPr>
              <w:t>6</w:t>
            </w:r>
            <w:r>
              <w:t xml:space="preserve"> hours</w:t>
            </w:r>
          </w:p>
        </w:tc>
        <w:tc>
          <w:tcPr>
            <w:tcW w:w="2610" w:type="dxa"/>
            <w:vAlign w:val="center"/>
          </w:tcPr>
          <w:p w:rsidR="005F3284" w:rsidRPr="004B30FB" w:rsidRDefault="005754B2" w:rsidP="00196C43">
            <w:r>
              <w:t>MIL-HDBK-217, Section 9.2</w:t>
            </w:r>
            <w:r w:rsidR="003549BD">
              <w:t xml:space="preserve">, 0.4 </w:t>
            </w:r>
            <w:r w:rsidR="001416FE">
              <w:t>s</w:t>
            </w:r>
            <w:r w:rsidR="003549BD">
              <w:t>tress level</w:t>
            </w:r>
          </w:p>
        </w:tc>
      </w:tr>
      <w:tr w:rsidR="005754B2" w:rsidTr="00196C43">
        <w:tc>
          <w:tcPr>
            <w:tcW w:w="4230" w:type="dxa"/>
            <w:vAlign w:val="center"/>
          </w:tcPr>
          <w:p w:rsidR="005754B2" w:rsidRPr="004B30FB" w:rsidRDefault="005754B2" w:rsidP="005754B2">
            <w:r>
              <w:t>Resistance Factor (π-R)</w:t>
            </w:r>
          </w:p>
        </w:tc>
        <w:tc>
          <w:tcPr>
            <w:tcW w:w="2160" w:type="dxa"/>
            <w:vAlign w:val="center"/>
          </w:tcPr>
          <w:p w:rsidR="005754B2" w:rsidRPr="004B30FB" w:rsidRDefault="005754B2" w:rsidP="00196C43">
            <w:r>
              <w:t>1</w:t>
            </w:r>
          </w:p>
        </w:tc>
        <w:tc>
          <w:tcPr>
            <w:tcW w:w="2610" w:type="dxa"/>
            <w:vAlign w:val="center"/>
          </w:tcPr>
          <w:p w:rsidR="005754B2" w:rsidRPr="004B30FB" w:rsidRDefault="005754B2" w:rsidP="005754B2">
            <w:r>
              <w:t>F</w:t>
            </w:r>
            <w:r w:rsidRPr="005754B2">
              <w:t>or res</w:t>
            </w:r>
            <w:r>
              <w:t>istors &lt; 100k ohms per MIL-HDBK-</w:t>
            </w:r>
            <w:r w:rsidRPr="005754B2">
              <w:t>217</w:t>
            </w:r>
            <w:r>
              <w:t>F</w:t>
            </w:r>
            <w:r w:rsidRPr="005754B2">
              <w:t xml:space="preserve">, </w:t>
            </w:r>
            <w:r>
              <w:t>S</w:t>
            </w:r>
            <w:r w:rsidRPr="005754B2">
              <w:t>ection 9.1</w:t>
            </w:r>
          </w:p>
        </w:tc>
      </w:tr>
      <w:tr w:rsidR="004C5114" w:rsidTr="00196C43">
        <w:tc>
          <w:tcPr>
            <w:tcW w:w="4230" w:type="dxa"/>
            <w:vAlign w:val="center"/>
          </w:tcPr>
          <w:p w:rsidR="004C5114" w:rsidRPr="004B30FB" w:rsidRDefault="004C5114" w:rsidP="00196C43">
            <w:r>
              <w:t>Quality Factor (π-Q)</w:t>
            </w:r>
          </w:p>
        </w:tc>
        <w:tc>
          <w:tcPr>
            <w:tcW w:w="2160" w:type="dxa"/>
            <w:vAlign w:val="center"/>
          </w:tcPr>
          <w:p w:rsidR="004C5114" w:rsidRPr="004B30FB" w:rsidRDefault="004C5114" w:rsidP="00196C43">
            <w:r>
              <w:t>0.</w:t>
            </w:r>
            <w:r w:rsidR="001416FE">
              <w:t>0</w:t>
            </w:r>
            <w:r>
              <w:t>3</w:t>
            </w:r>
          </w:p>
        </w:tc>
        <w:tc>
          <w:tcPr>
            <w:tcW w:w="2610" w:type="dxa"/>
            <w:vAlign w:val="center"/>
          </w:tcPr>
          <w:p w:rsidR="004C5114" w:rsidRPr="004B30FB" w:rsidRDefault="004C5114" w:rsidP="00196C43">
            <w:r>
              <w:t>Low Failure Rate corresponding to type S</w:t>
            </w:r>
          </w:p>
        </w:tc>
      </w:tr>
      <w:tr w:rsidR="004C5114" w:rsidTr="00196C43">
        <w:tc>
          <w:tcPr>
            <w:tcW w:w="4230" w:type="dxa"/>
            <w:vAlign w:val="center"/>
          </w:tcPr>
          <w:p w:rsidR="004C5114" w:rsidRPr="004B30FB" w:rsidRDefault="004C5114" w:rsidP="00196C43">
            <w:r>
              <w:t>Environment Factor (π-E)</w:t>
            </w:r>
          </w:p>
        </w:tc>
        <w:tc>
          <w:tcPr>
            <w:tcW w:w="2160" w:type="dxa"/>
            <w:vAlign w:val="center"/>
          </w:tcPr>
          <w:p w:rsidR="004C5114" w:rsidRPr="004B30FB" w:rsidRDefault="004C5114" w:rsidP="00196C43">
            <w:r>
              <w:t>1</w:t>
            </w:r>
          </w:p>
        </w:tc>
        <w:tc>
          <w:tcPr>
            <w:tcW w:w="2610" w:type="dxa"/>
            <w:vAlign w:val="center"/>
          </w:tcPr>
          <w:p w:rsidR="004C5114" w:rsidRPr="004B30FB" w:rsidRDefault="004C5114" w:rsidP="00196C43">
            <w:r>
              <w:t>Ground Benign</w:t>
            </w:r>
          </w:p>
        </w:tc>
      </w:tr>
    </w:tbl>
    <w:p w:rsidR="004165B0" w:rsidRDefault="004165B0" w:rsidP="004165B0">
      <w:pPr>
        <w:rPr>
          <w:b/>
        </w:rPr>
      </w:pPr>
    </w:p>
    <w:p w:rsidR="004C5114" w:rsidRDefault="004C5114">
      <w:pPr>
        <w:rPr>
          <w:b/>
        </w:rPr>
      </w:pPr>
    </w:p>
    <w:p w:rsidR="004165B0" w:rsidRDefault="004165B0" w:rsidP="004C5114">
      <w:pPr>
        <w:jc w:val="center"/>
        <w:rPr>
          <w:b/>
        </w:rPr>
      </w:pPr>
      <w:r>
        <w:rPr>
          <w:b/>
        </w:rPr>
        <w:t xml:space="preserve">General Form of </w:t>
      </w:r>
      <w:r w:rsidR="004C5114">
        <w:rPr>
          <w:b/>
        </w:rPr>
        <w:t>Resistor</w:t>
      </w:r>
      <w:r>
        <w:rPr>
          <w:b/>
        </w:rPr>
        <w:t xml:space="preserve"> Failure Rate</w:t>
      </w:r>
      <w:r w:rsidR="004C5114">
        <w:rPr>
          <w:b/>
        </w:rPr>
        <w:t xml:space="preserve"> (failures per 10</w:t>
      </w:r>
      <w:r w:rsidR="004C5114" w:rsidRPr="004C5114">
        <w:rPr>
          <w:b/>
          <w:vertAlign w:val="superscript"/>
        </w:rPr>
        <w:t>6</w:t>
      </w:r>
      <w:r w:rsidR="004C5114">
        <w:rPr>
          <w:b/>
        </w:rPr>
        <w:t xml:space="preserve"> hours)</w:t>
      </w:r>
    </w:p>
    <w:p w:rsidR="004165B0" w:rsidRDefault="004165B0" w:rsidP="004C5114">
      <w:pPr>
        <w:jc w:val="center"/>
        <w:rPr>
          <w:b/>
        </w:rPr>
      </w:pPr>
    </w:p>
    <w:p w:rsidR="004165B0" w:rsidRPr="004C5114" w:rsidRDefault="00100149" w:rsidP="004165B0">
      <m:oMathPara>
        <m:oMathParaPr>
          <m:jc m:val="center"/>
        </m:oMathParaPr>
        <m:oMath>
          <m:sSub>
            <m:sSubPr>
              <m:ctrlPr>
                <w:rPr>
                  <w:rFonts w:ascii="Cambria Math" w:hAnsi="Cambria Math"/>
                  <w:i/>
                </w:rPr>
              </m:ctrlPr>
            </m:sSubPr>
            <m:e>
              <m:r>
                <m:rPr>
                  <m:nor/>
                </m:rPr>
                <w:rPr>
                  <w:rFonts w:ascii="Cambria Math" w:hAnsi="Cambria Math"/>
                </w:rPr>
                <m:t>λ</m:t>
              </m:r>
            </m:e>
            <m:sub>
              <m:r>
                <w:rPr>
                  <w:rFonts w:ascii="Cambria Math" w:hAnsi="Cambria Math"/>
                </w:rPr>
                <m:t>p</m:t>
              </m:r>
            </m:sub>
          </m:sSub>
          <m:r>
            <w:rPr>
              <w:rFonts w:ascii="Cambria Math" w:hAnsi="Cambria Math"/>
            </w:rPr>
            <m:t>=</m:t>
          </m:r>
          <m:sSub>
            <m:sSubPr>
              <m:ctrlPr>
                <w:rPr>
                  <w:rFonts w:ascii="Cambria Math" w:hAnsi="Cambria Math"/>
                  <w:i/>
                </w:rPr>
              </m:ctrlPr>
            </m:sSubPr>
            <m:e>
              <m:r>
                <m:rPr>
                  <m:nor/>
                </m:rPr>
                <w:rPr>
                  <w:rFonts w:ascii="Cambria Math" w:hAnsi="Cambria Math"/>
                </w:rPr>
                <m:t>λ</m:t>
              </m:r>
            </m:e>
            <m:sub>
              <m:r>
                <w:rPr>
                  <w:rFonts w:ascii="Cambria Math" w:hAnsi="Cambria Math"/>
                </w:rPr>
                <m:t>B</m:t>
              </m:r>
            </m:sub>
          </m:sSub>
          <m:sSub>
            <m:sSubPr>
              <m:ctrlPr>
                <w:rPr>
                  <w:rFonts w:ascii="Cambria Math" w:hAnsi="Cambria Math"/>
                  <w:i/>
                </w:rPr>
              </m:ctrlPr>
            </m:sSubPr>
            <m:e>
              <m:r>
                <w:rPr>
                  <w:rFonts w:ascii="Cambria Math" w:hAnsi="Cambria Math"/>
                </w:rPr>
                <m:t>π</m:t>
              </m:r>
            </m:e>
            <m:sub>
              <m:r>
                <w:rPr>
                  <w:rFonts w:ascii="Cambria Math" w:hAnsi="Cambria Math"/>
                </w:rPr>
                <m:t>R</m:t>
              </m:r>
            </m:sub>
          </m:sSub>
          <m:sSub>
            <m:sSubPr>
              <m:ctrlPr>
                <w:rPr>
                  <w:rFonts w:ascii="Cambria Math" w:hAnsi="Cambria Math"/>
                  <w:i/>
                </w:rPr>
              </m:ctrlPr>
            </m:sSubPr>
            <m:e>
              <m:r>
                <w:rPr>
                  <w:rFonts w:ascii="Cambria Math" w:hAnsi="Cambria Math"/>
                </w:rPr>
                <m:t>π</m:t>
              </m:r>
            </m:e>
            <m:sub>
              <m:r>
                <w:rPr>
                  <w:rFonts w:ascii="Cambria Math" w:hAnsi="Cambria Math"/>
                </w:rPr>
                <m:t>Q</m:t>
              </m:r>
            </m:sub>
          </m:sSub>
          <m:sSub>
            <m:sSubPr>
              <m:ctrlPr>
                <w:rPr>
                  <w:rFonts w:ascii="Cambria Math" w:hAnsi="Cambria Math"/>
                  <w:i/>
                </w:rPr>
              </m:ctrlPr>
            </m:sSubPr>
            <m:e>
              <m:r>
                <w:rPr>
                  <w:rFonts w:ascii="Cambria Math" w:hAnsi="Cambria Math"/>
                </w:rPr>
                <m:t>π</m:t>
              </m:r>
            </m:e>
            <m:sub>
              <m:r>
                <w:rPr>
                  <w:rFonts w:ascii="Cambria Math" w:hAnsi="Cambria Math"/>
                </w:rPr>
                <m:t>E</m:t>
              </m:r>
            </m:sub>
          </m:sSub>
        </m:oMath>
      </m:oMathPara>
    </w:p>
    <w:p w:rsidR="004C5114" w:rsidRPr="004C5114" w:rsidRDefault="004C5114" w:rsidP="004165B0"/>
    <w:p w:rsidR="004C5114" w:rsidRPr="004C5114" w:rsidRDefault="004C5114" w:rsidP="004C5114">
      <w:pPr>
        <w:pStyle w:val="ListParagraph"/>
        <w:numPr>
          <w:ilvl w:val="1"/>
          <w:numId w:val="32"/>
        </w:numPr>
        <w:rPr>
          <w:b/>
        </w:rPr>
      </w:pPr>
      <w:r w:rsidRPr="004C5114">
        <w:rPr>
          <w:b/>
        </w:rPr>
        <w:t>C</w:t>
      </w:r>
      <w:r>
        <w:rPr>
          <w:b/>
        </w:rPr>
        <w:t>eramic Capacitors</w:t>
      </w:r>
    </w:p>
    <w:tbl>
      <w:tblPr>
        <w:tblStyle w:val="TableGrid"/>
        <w:tblW w:w="0" w:type="auto"/>
        <w:tblInd w:w="-16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0"/>
        <w:gridCol w:w="2160"/>
        <w:gridCol w:w="2610"/>
      </w:tblGrid>
      <w:tr w:rsidR="004C5114" w:rsidTr="00196C43">
        <w:tc>
          <w:tcPr>
            <w:tcW w:w="4230" w:type="dxa"/>
          </w:tcPr>
          <w:p w:rsidR="004C5114" w:rsidRDefault="004C5114" w:rsidP="00196C43">
            <w:pPr>
              <w:rPr>
                <w:b/>
              </w:rPr>
            </w:pPr>
            <w:r>
              <w:rPr>
                <w:b/>
              </w:rPr>
              <w:t>Parameter</w:t>
            </w:r>
          </w:p>
        </w:tc>
        <w:tc>
          <w:tcPr>
            <w:tcW w:w="2160" w:type="dxa"/>
          </w:tcPr>
          <w:p w:rsidR="004C5114" w:rsidRDefault="004C5114" w:rsidP="00196C43">
            <w:pPr>
              <w:rPr>
                <w:b/>
              </w:rPr>
            </w:pPr>
            <w:r>
              <w:rPr>
                <w:b/>
              </w:rPr>
              <w:t>Assumed Value</w:t>
            </w:r>
          </w:p>
        </w:tc>
        <w:tc>
          <w:tcPr>
            <w:tcW w:w="2610" w:type="dxa"/>
          </w:tcPr>
          <w:p w:rsidR="004C5114" w:rsidRDefault="004C5114" w:rsidP="00196C43">
            <w:pPr>
              <w:rPr>
                <w:b/>
              </w:rPr>
            </w:pPr>
            <w:r>
              <w:rPr>
                <w:b/>
              </w:rPr>
              <w:t>Comments</w:t>
            </w:r>
          </w:p>
        </w:tc>
      </w:tr>
      <w:tr w:rsidR="004C5114" w:rsidTr="00196C43">
        <w:tc>
          <w:tcPr>
            <w:tcW w:w="4230" w:type="dxa"/>
            <w:vAlign w:val="center"/>
          </w:tcPr>
          <w:p w:rsidR="004C5114" w:rsidRPr="004B30FB" w:rsidRDefault="004C5114" w:rsidP="00196C43">
            <w:r>
              <w:t>Package Type</w:t>
            </w:r>
          </w:p>
        </w:tc>
        <w:tc>
          <w:tcPr>
            <w:tcW w:w="2160" w:type="dxa"/>
            <w:vAlign w:val="center"/>
          </w:tcPr>
          <w:p w:rsidR="004C5114" w:rsidRPr="004B30FB" w:rsidRDefault="004C5114" w:rsidP="00196C43">
            <w:r>
              <w:t>3216 (1206)</w:t>
            </w:r>
          </w:p>
        </w:tc>
        <w:tc>
          <w:tcPr>
            <w:tcW w:w="2610" w:type="dxa"/>
            <w:vAlign w:val="center"/>
          </w:tcPr>
          <w:p w:rsidR="004C5114" w:rsidRPr="004B30FB" w:rsidRDefault="00EE3641" w:rsidP="00196C43">
            <w:r>
              <w:t>Chip Capacitor</w:t>
            </w:r>
          </w:p>
        </w:tc>
      </w:tr>
      <w:tr w:rsidR="004C5114" w:rsidTr="00196C43">
        <w:tc>
          <w:tcPr>
            <w:tcW w:w="4230" w:type="dxa"/>
            <w:vAlign w:val="center"/>
          </w:tcPr>
          <w:p w:rsidR="004C5114" w:rsidRPr="004B30FB" w:rsidRDefault="004C5114" w:rsidP="00EE3641">
            <w:r>
              <w:t>Device Base Failure Rate (</w:t>
            </w:r>
            <w:r w:rsidR="00EE3641">
              <w:t>λ</w:t>
            </w:r>
            <w:r w:rsidR="00EE3641" w:rsidRPr="00EE3641">
              <w:rPr>
                <w:vertAlign w:val="subscript"/>
              </w:rPr>
              <w:t>B</w:t>
            </w:r>
            <w:r>
              <w:t>)</w:t>
            </w:r>
          </w:p>
        </w:tc>
        <w:tc>
          <w:tcPr>
            <w:tcW w:w="2160" w:type="dxa"/>
            <w:vAlign w:val="center"/>
          </w:tcPr>
          <w:p w:rsidR="004C5114" w:rsidRPr="004B30FB" w:rsidRDefault="004C5114" w:rsidP="00EE3641">
            <w:r>
              <w:t>0.001</w:t>
            </w:r>
            <w:r w:rsidR="00EE3641">
              <w:t>7</w:t>
            </w:r>
            <w:r>
              <w:t xml:space="preserve"> per 10</w:t>
            </w:r>
            <w:r w:rsidRPr="00633443">
              <w:rPr>
                <w:vertAlign w:val="superscript"/>
              </w:rPr>
              <w:t>6</w:t>
            </w:r>
            <w:r>
              <w:t xml:space="preserve"> hours</w:t>
            </w:r>
          </w:p>
        </w:tc>
        <w:tc>
          <w:tcPr>
            <w:tcW w:w="2610" w:type="dxa"/>
            <w:vAlign w:val="center"/>
          </w:tcPr>
          <w:p w:rsidR="004C5114" w:rsidRPr="004B30FB" w:rsidRDefault="004C5114" w:rsidP="00EE3641">
            <w:r>
              <w:t xml:space="preserve">MIL-HDBK-217, Section </w:t>
            </w:r>
            <w:r w:rsidR="00EE3641">
              <w:t>10.11, 50VDC rating, 15VDC usage, 85C max rated temperature</w:t>
            </w:r>
          </w:p>
        </w:tc>
      </w:tr>
      <w:tr w:rsidR="004C5114" w:rsidTr="00196C43">
        <w:tc>
          <w:tcPr>
            <w:tcW w:w="4230" w:type="dxa"/>
            <w:vAlign w:val="center"/>
          </w:tcPr>
          <w:p w:rsidR="004C5114" w:rsidRPr="004B30FB" w:rsidRDefault="00EE3641" w:rsidP="00EE3641">
            <w:r>
              <w:t>Capacitance</w:t>
            </w:r>
            <w:r w:rsidR="004C5114">
              <w:t xml:space="preserve"> Factor (π-</w:t>
            </w:r>
            <w:r>
              <w:t>CV</w:t>
            </w:r>
            <w:r w:rsidR="004C5114">
              <w:t>)</w:t>
            </w:r>
          </w:p>
        </w:tc>
        <w:tc>
          <w:tcPr>
            <w:tcW w:w="2160" w:type="dxa"/>
            <w:vAlign w:val="center"/>
          </w:tcPr>
          <w:p w:rsidR="004C5114" w:rsidRPr="004B30FB" w:rsidRDefault="00EE3641" w:rsidP="00196C43">
            <w:r>
              <w:t>3.1</w:t>
            </w:r>
          </w:p>
        </w:tc>
        <w:tc>
          <w:tcPr>
            <w:tcW w:w="2610" w:type="dxa"/>
            <w:vAlign w:val="center"/>
          </w:tcPr>
          <w:p w:rsidR="004C5114" w:rsidRPr="004B30FB" w:rsidRDefault="00EE3641" w:rsidP="00196C43">
            <w:r>
              <w:t>MIL-HDBK-217, Section 10.11</w:t>
            </w:r>
            <w:r w:rsidR="001416FE">
              <w:t>, formula</w:t>
            </w:r>
          </w:p>
        </w:tc>
      </w:tr>
      <w:tr w:rsidR="004C5114" w:rsidTr="00196C43">
        <w:tc>
          <w:tcPr>
            <w:tcW w:w="4230" w:type="dxa"/>
            <w:vAlign w:val="center"/>
          </w:tcPr>
          <w:p w:rsidR="004C5114" w:rsidRPr="004B30FB" w:rsidRDefault="004C5114" w:rsidP="00196C43">
            <w:r>
              <w:t>Quality Factor (π-Q)</w:t>
            </w:r>
          </w:p>
        </w:tc>
        <w:tc>
          <w:tcPr>
            <w:tcW w:w="2160" w:type="dxa"/>
            <w:vAlign w:val="center"/>
          </w:tcPr>
          <w:p w:rsidR="004C5114" w:rsidRPr="004B30FB" w:rsidRDefault="00EE3641" w:rsidP="00196C43">
            <w:r>
              <w:t>1</w:t>
            </w:r>
          </w:p>
        </w:tc>
        <w:tc>
          <w:tcPr>
            <w:tcW w:w="2610" w:type="dxa"/>
            <w:vAlign w:val="center"/>
          </w:tcPr>
          <w:p w:rsidR="004C5114" w:rsidRPr="004B30FB" w:rsidRDefault="004C5114" w:rsidP="00EE3641">
            <w:r>
              <w:t xml:space="preserve">Failure Rate corresponding to type </w:t>
            </w:r>
            <w:r w:rsidR="00EE3641">
              <w:t>M</w:t>
            </w:r>
          </w:p>
        </w:tc>
      </w:tr>
      <w:tr w:rsidR="004C5114" w:rsidTr="00196C43">
        <w:tc>
          <w:tcPr>
            <w:tcW w:w="4230" w:type="dxa"/>
            <w:vAlign w:val="center"/>
          </w:tcPr>
          <w:p w:rsidR="004C5114" w:rsidRPr="004B30FB" w:rsidRDefault="004C5114" w:rsidP="00196C43">
            <w:r>
              <w:t>Environment Factor (π-E)</w:t>
            </w:r>
          </w:p>
        </w:tc>
        <w:tc>
          <w:tcPr>
            <w:tcW w:w="2160" w:type="dxa"/>
            <w:vAlign w:val="center"/>
          </w:tcPr>
          <w:p w:rsidR="004C5114" w:rsidRPr="004B30FB" w:rsidRDefault="004C5114" w:rsidP="00196C43">
            <w:r>
              <w:t>1</w:t>
            </w:r>
          </w:p>
        </w:tc>
        <w:tc>
          <w:tcPr>
            <w:tcW w:w="2610" w:type="dxa"/>
            <w:vAlign w:val="center"/>
          </w:tcPr>
          <w:p w:rsidR="004C5114" w:rsidRPr="004B30FB" w:rsidRDefault="004C5114" w:rsidP="00196C43">
            <w:r>
              <w:t>Ground Benign</w:t>
            </w:r>
          </w:p>
        </w:tc>
      </w:tr>
    </w:tbl>
    <w:p w:rsidR="004C5114" w:rsidRDefault="004C5114" w:rsidP="004C5114">
      <w:pPr>
        <w:rPr>
          <w:b/>
        </w:rPr>
      </w:pPr>
    </w:p>
    <w:p w:rsidR="004C5114" w:rsidRDefault="004C5114" w:rsidP="004C5114">
      <w:pPr>
        <w:rPr>
          <w:b/>
        </w:rPr>
      </w:pPr>
    </w:p>
    <w:p w:rsidR="004C5114" w:rsidRDefault="004C5114" w:rsidP="004C5114">
      <w:pPr>
        <w:jc w:val="center"/>
        <w:rPr>
          <w:b/>
        </w:rPr>
      </w:pPr>
      <w:r>
        <w:rPr>
          <w:b/>
        </w:rPr>
        <w:t>General Form of Ceramic Capacitor Failure Rate (failures per 10</w:t>
      </w:r>
      <w:r w:rsidRPr="004C5114">
        <w:rPr>
          <w:b/>
          <w:vertAlign w:val="superscript"/>
        </w:rPr>
        <w:t>6</w:t>
      </w:r>
      <w:r>
        <w:rPr>
          <w:b/>
        </w:rPr>
        <w:t xml:space="preserve"> hours)</w:t>
      </w:r>
    </w:p>
    <w:p w:rsidR="004C5114" w:rsidRDefault="004C5114" w:rsidP="004C5114">
      <w:pPr>
        <w:jc w:val="center"/>
        <w:rPr>
          <w:b/>
        </w:rPr>
      </w:pPr>
    </w:p>
    <w:p w:rsidR="004C5114" w:rsidRPr="00EE3641" w:rsidRDefault="00100149" w:rsidP="004C5114">
      <m:oMathPara>
        <m:oMathParaPr>
          <m:jc m:val="center"/>
        </m:oMathParaPr>
        <m:oMath>
          <m:sSub>
            <m:sSubPr>
              <m:ctrlPr>
                <w:rPr>
                  <w:rFonts w:ascii="Cambria Math" w:hAnsi="Cambria Math"/>
                  <w:i/>
                </w:rPr>
              </m:ctrlPr>
            </m:sSubPr>
            <m:e>
              <m:r>
                <m:rPr>
                  <m:nor/>
                </m:rPr>
                <w:rPr>
                  <w:rFonts w:ascii="Cambria Math" w:hAnsi="Cambria Math"/>
                </w:rPr>
                <m:t>λ</m:t>
              </m:r>
            </m:e>
            <m:sub>
              <m:r>
                <w:rPr>
                  <w:rFonts w:ascii="Cambria Math" w:hAnsi="Cambria Math"/>
                </w:rPr>
                <m:t>p</m:t>
              </m:r>
            </m:sub>
          </m:sSub>
          <m:r>
            <w:rPr>
              <w:rFonts w:ascii="Cambria Math" w:hAnsi="Cambria Math"/>
            </w:rPr>
            <m:t>=</m:t>
          </m:r>
          <m:sSub>
            <m:sSubPr>
              <m:ctrlPr>
                <w:rPr>
                  <w:rFonts w:ascii="Cambria Math" w:hAnsi="Cambria Math"/>
                  <w:i/>
                </w:rPr>
              </m:ctrlPr>
            </m:sSubPr>
            <m:e>
              <m:r>
                <m:rPr>
                  <m:nor/>
                </m:rPr>
                <w:rPr>
                  <w:rFonts w:ascii="Cambria Math" w:hAnsi="Cambria Math"/>
                </w:rPr>
                <m:t>λ</m:t>
              </m:r>
            </m:e>
            <m:sub>
              <m:r>
                <w:rPr>
                  <w:rFonts w:ascii="Cambria Math" w:hAnsi="Cambria Math"/>
                </w:rPr>
                <m:t>B</m:t>
              </m:r>
            </m:sub>
          </m:sSub>
          <m:sSub>
            <m:sSubPr>
              <m:ctrlPr>
                <w:rPr>
                  <w:rFonts w:ascii="Cambria Math" w:hAnsi="Cambria Math"/>
                  <w:i/>
                </w:rPr>
              </m:ctrlPr>
            </m:sSubPr>
            <m:e>
              <m:r>
                <w:rPr>
                  <w:rFonts w:ascii="Cambria Math" w:hAnsi="Cambria Math"/>
                </w:rPr>
                <m:t>π</m:t>
              </m:r>
            </m:e>
            <m:sub>
              <m:r>
                <w:rPr>
                  <w:rFonts w:ascii="Cambria Math" w:hAnsi="Cambria Math"/>
                </w:rPr>
                <m:t>CV</m:t>
              </m:r>
            </m:sub>
          </m:sSub>
          <m:sSub>
            <m:sSubPr>
              <m:ctrlPr>
                <w:rPr>
                  <w:rFonts w:ascii="Cambria Math" w:hAnsi="Cambria Math"/>
                  <w:i/>
                </w:rPr>
              </m:ctrlPr>
            </m:sSubPr>
            <m:e>
              <m:r>
                <w:rPr>
                  <w:rFonts w:ascii="Cambria Math" w:hAnsi="Cambria Math"/>
                </w:rPr>
                <m:t>π</m:t>
              </m:r>
            </m:e>
            <m:sub>
              <m:r>
                <w:rPr>
                  <w:rFonts w:ascii="Cambria Math" w:hAnsi="Cambria Math"/>
                </w:rPr>
                <m:t>Q</m:t>
              </m:r>
            </m:sub>
          </m:sSub>
          <m:sSub>
            <m:sSubPr>
              <m:ctrlPr>
                <w:rPr>
                  <w:rFonts w:ascii="Cambria Math" w:hAnsi="Cambria Math"/>
                  <w:i/>
                </w:rPr>
              </m:ctrlPr>
            </m:sSubPr>
            <m:e>
              <m:r>
                <w:rPr>
                  <w:rFonts w:ascii="Cambria Math" w:hAnsi="Cambria Math"/>
                </w:rPr>
                <m:t>π</m:t>
              </m:r>
            </m:e>
            <m:sub>
              <m:r>
                <w:rPr>
                  <w:rFonts w:ascii="Cambria Math" w:hAnsi="Cambria Math"/>
                </w:rPr>
                <m:t>E</m:t>
              </m:r>
            </m:sub>
          </m:sSub>
        </m:oMath>
      </m:oMathPara>
    </w:p>
    <w:p w:rsidR="00EE3641" w:rsidRPr="004C5114" w:rsidRDefault="00EE3641" w:rsidP="004C5114"/>
    <w:p w:rsidR="00EE3641" w:rsidRPr="004C5114" w:rsidRDefault="00EE3641" w:rsidP="00EE3641">
      <w:pPr>
        <w:pStyle w:val="ListParagraph"/>
        <w:numPr>
          <w:ilvl w:val="1"/>
          <w:numId w:val="32"/>
        </w:numPr>
        <w:rPr>
          <w:b/>
        </w:rPr>
      </w:pPr>
      <w:r>
        <w:rPr>
          <w:b/>
        </w:rPr>
        <w:t>Metalized Film Capacitors</w:t>
      </w:r>
    </w:p>
    <w:tbl>
      <w:tblPr>
        <w:tblStyle w:val="TableGrid"/>
        <w:tblW w:w="0" w:type="auto"/>
        <w:tblInd w:w="-16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0"/>
        <w:gridCol w:w="2160"/>
        <w:gridCol w:w="2610"/>
      </w:tblGrid>
      <w:tr w:rsidR="00EE3641" w:rsidTr="00196C43">
        <w:tc>
          <w:tcPr>
            <w:tcW w:w="4230" w:type="dxa"/>
          </w:tcPr>
          <w:p w:rsidR="00EE3641" w:rsidRDefault="00EE3641" w:rsidP="00196C43">
            <w:pPr>
              <w:rPr>
                <w:b/>
              </w:rPr>
            </w:pPr>
            <w:r>
              <w:rPr>
                <w:b/>
              </w:rPr>
              <w:t>Parameter</w:t>
            </w:r>
          </w:p>
        </w:tc>
        <w:tc>
          <w:tcPr>
            <w:tcW w:w="2160" w:type="dxa"/>
          </w:tcPr>
          <w:p w:rsidR="00EE3641" w:rsidRDefault="00EE3641" w:rsidP="00196C43">
            <w:pPr>
              <w:rPr>
                <w:b/>
              </w:rPr>
            </w:pPr>
            <w:r>
              <w:rPr>
                <w:b/>
              </w:rPr>
              <w:t>Assumed Value</w:t>
            </w:r>
          </w:p>
        </w:tc>
        <w:tc>
          <w:tcPr>
            <w:tcW w:w="2610" w:type="dxa"/>
          </w:tcPr>
          <w:p w:rsidR="00EE3641" w:rsidRDefault="00EE3641" w:rsidP="00196C43">
            <w:pPr>
              <w:rPr>
                <w:b/>
              </w:rPr>
            </w:pPr>
            <w:r>
              <w:rPr>
                <w:b/>
              </w:rPr>
              <w:t>Comments</w:t>
            </w:r>
          </w:p>
        </w:tc>
      </w:tr>
      <w:tr w:rsidR="00EE3641" w:rsidTr="00196C43">
        <w:tc>
          <w:tcPr>
            <w:tcW w:w="4230" w:type="dxa"/>
            <w:vAlign w:val="center"/>
          </w:tcPr>
          <w:p w:rsidR="00EE3641" w:rsidRPr="004B30FB" w:rsidRDefault="00EE3641" w:rsidP="00196C43">
            <w:r>
              <w:t>Package Type</w:t>
            </w:r>
          </w:p>
        </w:tc>
        <w:tc>
          <w:tcPr>
            <w:tcW w:w="2160" w:type="dxa"/>
            <w:vAlign w:val="center"/>
          </w:tcPr>
          <w:p w:rsidR="00EE3641" w:rsidRPr="004B30FB" w:rsidRDefault="001416FE" w:rsidP="00196C43">
            <w:r>
              <w:t>various</w:t>
            </w:r>
          </w:p>
        </w:tc>
        <w:tc>
          <w:tcPr>
            <w:tcW w:w="2610" w:type="dxa"/>
            <w:vAlign w:val="center"/>
          </w:tcPr>
          <w:p w:rsidR="00EE3641" w:rsidRPr="004B30FB" w:rsidRDefault="001416FE" w:rsidP="00196C43">
            <w:r>
              <w:t>-</w:t>
            </w:r>
          </w:p>
        </w:tc>
      </w:tr>
      <w:tr w:rsidR="00EE3641" w:rsidTr="00196C43">
        <w:tc>
          <w:tcPr>
            <w:tcW w:w="4230" w:type="dxa"/>
            <w:vAlign w:val="center"/>
          </w:tcPr>
          <w:p w:rsidR="00EE3641" w:rsidRPr="004B30FB" w:rsidRDefault="00EE3641" w:rsidP="00196C43">
            <w:r>
              <w:t>Device Base Failure Rate (λ</w:t>
            </w:r>
            <w:r w:rsidRPr="00EE3641">
              <w:rPr>
                <w:vertAlign w:val="subscript"/>
              </w:rPr>
              <w:t>B</w:t>
            </w:r>
            <w:r>
              <w:t>)</w:t>
            </w:r>
          </w:p>
        </w:tc>
        <w:tc>
          <w:tcPr>
            <w:tcW w:w="2160" w:type="dxa"/>
            <w:vAlign w:val="center"/>
          </w:tcPr>
          <w:p w:rsidR="00EE3641" w:rsidRPr="004B30FB" w:rsidRDefault="00EE3641" w:rsidP="00EE3641">
            <w:r>
              <w:t>0.0013 per 10</w:t>
            </w:r>
            <w:r w:rsidRPr="00633443">
              <w:rPr>
                <w:vertAlign w:val="superscript"/>
              </w:rPr>
              <w:t>6</w:t>
            </w:r>
            <w:r>
              <w:t xml:space="preserve"> hours</w:t>
            </w:r>
          </w:p>
        </w:tc>
        <w:tc>
          <w:tcPr>
            <w:tcW w:w="2610" w:type="dxa"/>
            <w:vAlign w:val="center"/>
          </w:tcPr>
          <w:p w:rsidR="00EE3641" w:rsidRPr="004B30FB" w:rsidRDefault="00EE3641" w:rsidP="00EE3641">
            <w:r>
              <w:t>MIL-HDBK-217, Section 10.5, 50VDC rating, 10VDC usage, 85C max rated temperature</w:t>
            </w:r>
          </w:p>
        </w:tc>
      </w:tr>
      <w:tr w:rsidR="00EE3641" w:rsidTr="00196C43">
        <w:tc>
          <w:tcPr>
            <w:tcW w:w="4230" w:type="dxa"/>
            <w:vAlign w:val="center"/>
          </w:tcPr>
          <w:p w:rsidR="00EE3641" w:rsidRPr="004B30FB" w:rsidRDefault="00EE3641" w:rsidP="00196C43">
            <w:r>
              <w:t>Capacitance Factor (π-CV)</w:t>
            </w:r>
          </w:p>
        </w:tc>
        <w:tc>
          <w:tcPr>
            <w:tcW w:w="2160" w:type="dxa"/>
            <w:vAlign w:val="center"/>
          </w:tcPr>
          <w:p w:rsidR="00EE3641" w:rsidRPr="004B30FB" w:rsidRDefault="00EE3641" w:rsidP="00196C43">
            <w:r>
              <w:t>1</w:t>
            </w:r>
          </w:p>
        </w:tc>
        <w:tc>
          <w:tcPr>
            <w:tcW w:w="2610" w:type="dxa"/>
            <w:vAlign w:val="center"/>
          </w:tcPr>
          <w:p w:rsidR="00EE3641" w:rsidRPr="004B30FB" w:rsidRDefault="00EE3641" w:rsidP="00EE3641">
            <w:r>
              <w:t>MIL-HDBK-217, Section 10.5, 0.5uF</w:t>
            </w:r>
          </w:p>
        </w:tc>
      </w:tr>
      <w:tr w:rsidR="00EE3641" w:rsidTr="00196C43">
        <w:tc>
          <w:tcPr>
            <w:tcW w:w="4230" w:type="dxa"/>
            <w:vAlign w:val="center"/>
          </w:tcPr>
          <w:p w:rsidR="00EE3641" w:rsidRPr="004B30FB" w:rsidRDefault="00EE3641" w:rsidP="00196C43">
            <w:r>
              <w:t>Quality Factor (π-Q)</w:t>
            </w:r>
          </w:p>
        </w:tc>
        <w:tc>
          <w:tcPr>
            <w:tcW w:w="2160" w:type="dxa"/>
            <w:vAlign w:val="center"/>
          </w:tcPr>
          <w:p w:rsidR="00EE3641" w:rsidRPr="004B30FB" w:rsidRDefault="00EE3641" w:rsidP="00196C43">
            <w:r>
              <w:t>0.1</w:t>
            </w:r>
          </w:p>
        </w:tc>
        <w:tc>
          <w:tcPr>
            <w:tcW w:w="2610" w:type="dxa"/>
            <w:vAlign w:val="center"/>
          </w:tcPr>
          <w:p w:rsidR="00EE3641" w:rsidRPr="004B30FB" w:rsidRDefault="00EE3641" w:rsidP="00EE3641">
            <w:r>
              <w:t>Failure Rate estimate from general high reliability associated with these type parts</w:t>
            </w:r>
          </w:p>
        </w:tc>
      </w:tr>
      <w:tr w:rsidR="00EE3641" w:rsidTr="00196C43">
        <w:tc>
          <w:tcPr>
            <w:tcW w:w="4230" w:type="dxa"/>
            <w:vAlign w:val="center"/>
          </w:tcPr>
          <w:p w:rsidR="00EE3641" w:rsidRPr="004B30FB" w:rsidRDefault="00EE3641" w:rsidP="00196C43">
            <w:r>
              <w:t>Environment Factor (π-E)</w:t>
            </w:r>
          </w:p>
        </w:tc>
        <w:tc>
          <w:tcPr>
            <w:tcW w:w="2160" w:type="dxa"/>
            <w:vAlign w:val="center"/>
          </w:tcPr>
          <w:p w:rsidR="00EE3641" w:rsidRPr="004B30FB" w:rsidRDefault="00EE3641" w:rsidP="00196C43">
            <w:r>
              <w:t>1</w:t>
            </w:r>
          </w:p>
        </w:tc>
        <w:tc>
          <w:tcPr>
            <w:tcW w:w="2610" w:type="dxa"/>
            <w:vAlign w:val="center"/>
          </w:tcPr>
          <w:p w:rsidR="00EE3641" w:rsidRPr="004B30FB" w:rsidRDefault="00EE3641" w:rsidP="00196C43">
            <w:r>
              <w:t>Ground Benign</w:t>
            </w:r>
          </w:p>
        </w:tc>
      </w:tr>
    </w:tbl>
    <w:p w:rsidR="00EE3641" w:rsidRDefault="00EE3641" w:rsidP="00EE3641">
      <w:pPr>
        <w:rPr>
          <w:b/>
        </w:rPr>
      </w:pPr>
    </w:p>
    <w:p w:rsidR="00EE3641" w:rsidRDefault="00EE3641" w:rsidP="00EE3641">
      <w:pPr>
        <w:rPr>
          <w:b/>
        </w:rPr>
      </w:pPr>
    </w:p>
    <w:p w:rsidR="00EE3641" w:rsidRDefault="00EE3641" w:rsidP="00EE3641">
      <w:pPr>
        <w:jc w:val="center"/>
        <w:rPr>
          <w:b/>
        </w:rPr>
      </w:pPr>
      <w:r>
        <w:rPr>
          <w:b/>
        </w:rPr>
        <w:t xml:space="preserve">General Form of </w:t>
      </w:r>
      <w:r w:rsidR="007230AE">
        <w:rPr>
          <w:b/>
        </w:rPr>
        <w:t>Metalized Film</w:t>
      </w:r>
      <w:r>
        <w:rPr>
          <w:b/>
        </w:rPr>
        <w:t xml:space="preserve"> Capacitor Failure Rate (failures per 10</w:t>
      </w:r>
      <w:r w:rsidRPr="004C5114">
        <w:rPr>
          <w:b/>
          <w:vertAlign w:val="superscript"/>
        </w:rPr>
        <w:t>6</w:t>
      </w:r>
      <w:r>
        <w:rPr>
          <w:b/>
        </w:rPr>
        <w:t xml:space="preserve"> hours)</w:t>
      </w:r>
    </w:p>
    <w:p w:rsidR="00EE3641" w:rsidRDefault="00EE3641" w:rsidP="00EE3641">
      <w:pPr>
        <w:jc w:val="center"/>
        <w:rPr>
          <w:b/>
        </w:rPr>
      </w:pPr>
    </w:p>
    <w:p w:rsidR="007230AE" w:rsidRDefault="00100149" w:rsidP="00EE3641">
      <m:oMathPara>
        <m:oMath>
          <m:sSub>
            <m:sSubPr>
              <m:ctrlPr>
                <w:rPr>
                  <w:rFonts w:ascii="Cambria Math" w:hAnsi="Cambria Math"/>
                  <w:i/>
                </w:rPr>
              </m:ctrlPr>
            </m:sSubPr>
            <m:e>
              <m:r>
                <m:rPr>
                  <m:nor/>
                </m:rPr>
                <w:rPr>
                  <w:rFonts w:ascii="Cambria Math" w:hAnsi="Cambria Math"/>
                </w:rPr>
                <m:t>λ</m:t>
              </m:r>
            </m:e>
            <m:sub>
              <m:r>
                <w:rPr>
                  <w:rFonts w:ascii="Cambria Math" w:hAnsi="Cambria Math"/>
                </w:rPr>
                <m:t>p</m:t>
              </m:r>
            </m:sub>
          </m:sSub>
          <m:r>
            <w:rPr>
              <w:rFonts w:ascii="Cambria Math" w:hAnsi="Cambria Math"/>
            </w:rPr>
            <m:t>=</m:t>
          </m:r>
          <m:sSub>
            <m:sSubPr>
              <m:ctrlPr>
                <w:rPr>
                  <w:rFonts w:ascii="Cambria Math" w:hAnsi="Cambria Math"/>
                  <w:i/>
                </w:rPr>
              </m:ctrlPr>
            </m:sSubPr>
            <m:e>
              <m:r>
                <m:rPr>
                  <m:nor/>
                </m:rPr>
                <w:rPr>
                  <w:rFonts w:ascii="Cambria Math" w:hAnsi="Cambria Math"/>
                </w:rPr>
                <m:t>λ</m:t>
              </m:r>
            </m:e>
            <m:sub>
              <m:r>
                <w:rPr>
                  <w:rFonts w:ascii="Cambria Math" w:hAnsi="Cambria Math"/>
                </w:rPr>
                <m:t>B</m:t>
              </m:r>
            </m:sub>
          </m:sSub>
          <m:sSub>
            <m:sSubPr>
              <m:ctrlPr>
                <w:rPr>
                  <w:rFonts w:ascii="Cambria Math" w:hAnsi="Cambria Math"/>
                  <w:i/>
                </w:rPr>
              </m:ctrlPr>
            </m:sSubPr>
            <m:e>
              <m:r>
                <w:rPr>
                  <w:rFonts w:ascii="Cambria Math" w:hAnsi="Cambria Math"/>
                </w:rPr>
                <m:t>π</m:t>
              </m:r>
            </m:e>
            <m:sub>
              <m:r>
                <w:rPr>
                  <w:rFonts w:ascii="Cambria Math" w:hAnsi="Cambria Math"/>
                </w:rPr>
                <m:t>CV</m:t>
              </m:r>
            </m:sub>
          </m:sSub>
          <m:sSub>
            <m:sSubPr>
              <m:ctrlPr>
                <w:rPr>
                  <w:rFonts w:ascii="Cambria Math" w:hAnsi="Cambria Math"/>
                  <w:i/>
                </w:rPr>
              </m:ctrlPr>
            </m:sSubPr>
            <m:e>
              <m:r>
                <w:rPr>
                  <w:rFonts w:ascii="Cambria Math" w:hAnsi="Cambria Math"/>
                </w:rPr>
                <m:t>π</m:t>
              </m:r>
            </m:e>
            <m:sub>
              <m:r>
                <w:rPr>
                  <w:rFonts w:ascii="Cambria Math" w:hAnsi="Cambria Math"/>
                </w:rPr>
                <m:t>Q</m:t>
              </m:r>
            </m:sub>
          </m:sSub>
          <m:sSub>
            <m:sSubPr>
              <m:ctrlPr>
                <w:rPr>
                  <w:rFonts w:ascii="Cambria Math" w:hAnsi="Cambria Math"/>
                  <w:i/>
                </w:rPr>
              </m:ctrlPr>
            </m:sSubPr>
            <m:e>
              <m:r>
                <w:rPr>
                  <w:rFonts w:ascii="Cambria Math" w:hAnsi="Cambria Math"/>
                </w:rPr>
                <m:t>π</m:t>
              </m:r>
            </m:e>
            <m:sub>
              <m:r>
                <w:rPr>
                  <w:rFonts w:ascii="Cambria Math" w:hAnsi="Cambria Math"/>
                </w:rPr>
                <m:t>E</m:t>
              </m:r>
            </m:sub>
          </m:sSub>
        </m:oMath>
      </m:oMathPara>
    </w:p>
    <w:p w:rsidR="007230AE" w:rsidRDefault="007230AE">
      <w:r>
        <w:br w:type="page"/>
      </w:r>
    </w:p>
    <w:p w:rsidR="00EE3641" w:rsidRPr="004C5114" w:rsidRDefault="00EE3641" w:rsidP="00EE3641"/>
    <w:p w:rsidR="007230AE" w:rsidRPr="004C5114" w:rsidRDefault="007230AE" w:rsidP="007230AE">
      <w:pPr>
        <w:pStyle w:val="ListParagraph"/>
        <w:numPr>
          <w:ilvl w:val="1"/>
          <w:numId w:val="32"/>
        </w:numPr>
        <w:rPr>
          <w:b/>
        </w:rPr>
      </w:pPr>
      <w:r>
        <w:rPr>
          <w:b/>
        </w:rPr>
        <w:t>Tantalum Capacitors</w:t>
      </w:r>
    </w:p>
    <w:tbl>
      <w:tblPr>
        <w:tblStyle w:val="TableGrid"/>
        <w:tblW w:w="0" w:type="auto"/>
        <w:tblInd w:w="-16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0"/>
        <w:gridCol w:w="2160"/>
        <w:gridCol w:w="2610"/>
      </w:tblGrid>
      <w:tr w:rsidR="007230AE" w:rsidTr="00196C43">
        <w:tc>
          <w:tcPr>
            <w:tcW w:w="4230" w:type="dxa"/>
          </w:tcPr>
          <w:p w:rsidR="007230AE" w:rsidRDefault="007230AE" w:rsidP="00196C43">
            <w:pPr>
              <w:rPr>
                <w:b/>
              </w:rPr>
            </w:pPr>
            <w:r>
              <w:rPr>
                <w:b/>
              </w:rPr>
              <w:t>Parameter</w:t>
            </w:r>
          </w:p>
        </w:tc>
        <w:tc>
          <w:tcPr>
            <w:tcW w:w="2160" w:type="dxa"/>
          </w:tcPr>
          <w:p w:rsidR="007230AE" w:rsidRDefault="007230AE" w:rsidP="00196C43">
            <w:pPr>
              <w:rPr>
                <w:b/>
              </w:rPr>
            </w:pPr>
            <w:r>
              <w:rPr>
                <w:b/>
              </w:rPr>
              <w:t>Assumed Value</w:t>
            </w:r>
          </w:p>
        </w:tc>
        <w:tc>
          <w:tcPr>
            <w:tcW w:w="2610" w:type="dxa"/>
          </w:tcPr>
          <w:p w:rsidR="007230AE" w:rsidRDefault="007230AE" w:rsidP="00196C43">
            <w:pPr>
              <w:rPr>
                <w:b/>
              </w:rPr>
            </w:pPr>
            <w:r>
              <w:rPr>
                <w:b/>
              </w:rPr>
              <w:t>Comments</w:t>
            </w:r>
          </w:p>
        </w:tc>
      </w:tr>
      <w:tr w:rsidR="007230AE" w:rsidTr="00196C43">
        <w:tc>
          <w:tcPr>
            <w:tcW w:w="4230" w:type="dxa"/>
            <w:vAlign w:val="center"/>
          </w:tcPr>
          <w:p w:rsidR="007230AE" w:rsidRPr="004B30FB" w:rsidRDefault="007230AE" w:rsidP="00196C43">
            <w:r>
              <w:t>Package Type</w:t>
            </w:r>
          </w:p>
        </w:tc>
        <w:tc>
          <w:tcPr>
            <w:tcW w:w="2160" w:type="dxa"/>
            <w:vAlign w:val="center"/>
          </w:tcPr>
          <w:p w:rsidR="007230AE" w:rsidRPr="004B30FB" w:rsidRDefault="001416FE" w:rsidP="00196C43">
            <w:r>
              <w:t>SMT</w:t>
            </w:r>
          </w:p>
        </w:tc>
        <w:tc>
          <w:tcPr>
            <w:tcW w:w="2610" w:type="dxa"/>
            <w:vAlign w:val="center"/>
          </w:tcPr>
          <w:p w:rsidR="007230AE" w:rsidRPr="004B30FB" w:rsidRDefault="007230AE" w:rsidP="00196C43">
            <w:r>
              <w:t>Chip Capacitor</w:t>
            </w:r>
          </w:p>
        </w:tc>
      </w:tr>
      <w:tr w:rsidR="007230AE" w:rsidTr="00196C43">
        <w:tc>
          <w:tcPr>
            <w:tcW w:w="4230" w:type="dxa"/>
            <w:vAlign w:val="center"/>
          </w:tcPr>
          <w:p w:rsidR="007230AE" w:rsidRPr="004B30FB" w:rsidRDefault="007230AE" w:rsidP="00196C43">
            <w:r>
              <w:t>Device Base Failure Rate (λ</w:t>
            </w:r>
            <w:r w:rsidRPr="00EE3641">
              <w:rPr>
                <w:vertAlign w:val="subscript"/>
              </w:rPr>
              <w:t>B</w:t>
            </w:r>
            <w:r>
              <w:t>)</w:t>
            </w:r>
          </w:p>
        </w:tc>
        <w:tc>
          <w:tcPr>
            <w:tcW w:w="2160" w:type="dxa"/>
            <w:vAlign w:val="center"/>
          </w:tcPr>
          <w:p w:rsidR="007230AE" w:rsidRPr="004B30FB" w:rsidRDefault="007230AE" w:rsidP="007230AE">
            <w:r>
              <w:t>0.016 per 10</w:t>
            </w:r>
            <w:r w:rsidRPr="00633443">
              <w:rPr>
                <w:vertAlign w:val="superscript"/>
              </w:rPr>
              <w:t>6</w:t>
            </w:r>
            <w:r>
              <w:t xml:space="preserve"> hours</w:t>
            </w:r>
          </w:p>
        </w:tc>
        <w:tc>
          <w:tcPr>
            <w:tcW w:w="2610" w:type="dxa"/>
            <w:vAlign w:val="center"/>
          </w:tcPr>
          <w:p w:rsidR="007230AE" w:rsidRPr="004B30FB" w:rsidRDefault="007230AE" w:rsidP="007230AE">
            <w:r>
              <w:t>MIL-HDBK-217, Section 10.12, Stress Factor = 0.5</w:t>
            </w:r>
          </w:p>
        </w:tc>
      </w:tr>
      <w:tr w:rsidR="007230AE" w:rsidTr="00196C43">
        <w:tc>
          <w:tcPr>
            <w:tcW w:w="4230" w:type="dxa"/>
            <w:vAlign w:val="center"/>
          </w:tcPr>
          <w:p w:rsidR="007230AE" w:rsidRPr="004B30FB" w:rsidRDefault="007230AE" w:rsidP="00196C43">
            <w:r>
              <w:t>Capacitance Factor (π-CV)</w:t>
            </w:r>
          </w:p>
        </w:tc>
        <w:tc>
          <w:tcPr>
            <w:tcW w:w="2160" w:type="dxa"/>
            <w:vAlign w:val="center"/>
          </w:tcPr>
          <w:p w:rsidR="007230AE" w:rsidRPr="004B30FB" w:rsidRDefault="007230AE" w:rsidP="00196C43">
            <w:r>
              <w:t>1.4</w:t>
            </w:r>
          </w:p>
        </w:tc>
        <w:tc>
          <w:tcPr>
            <w:tcW w:w="2610" w:type="dxa"/>
            <w:vAlign w:val="center"/>
          </w:tcPr>
          <w:p w:rsidR="007230AE" w:rsidRPr="004B30FB" w:rsidRDefault="007230AE" w:rsidP="007230AE">
            <w:r>
              <w:t>MIL-HDBK-217, Section 10.12, 10uF</w:t>
            </w:r>
          </w:p>
        </w:tc>
      </w:tr>
      <w:tr w:rsidR="007230AE" w:rsidTr="00196C43">
        <w:tc>
          <w:tcPr>
            <w:tcW w:w="4230" w:type="dxa"/>
            <w:vAlign w:val="center"/>
          </w:tcPr>
          <w:p w:rsidR="007230AE" w:rsidRPr="004B30FB" w:rsidRDefault="007230AE" w:rsidP="007230AE">
            <w:r>
              <w:t>Series Resistance Factor (π-SR)</w:t>
            </w:r>
          </w:p>
        </w:tc>
        <w:tc>
          <w:tcPr>
            <w:tcW w:w="2160" w:type="dxa"/>
            <w:vAlign w:val="center"/>
          </w:tcPr>
          <w:p w:rsidR="007230AE" w:rsidRPr="004B30FB" w:rsidRDefault="007230AE" w:rsidP="00196C43">
            <w:r>
              <w:t>0.33</w:t>
            </w:r>
          </w:p>
        </w:tc>
        <w:tc>
          <w:tcPr>
            <w:tcW w:w="2610" w:type="dxa"/>
            <w:vAlign w:val="center"/>
          </w:tcPr>
          <w:p w:rsidR="007230AE" w:rsidRPr="004B30FB" w:rsidRDefault="007230AE" w:rsidP="007230AE">
            <w:r>
              <w:t>MIL-HDBK-217, Section 10.12, 0 to 0.1 ohms per volt</w:t>
            </w:r>
          </w:p>
        </w:tc>
      </w:tr>
      <w:tr w:rsidR="007230AE" w:rsidTr="00196C43">
        <w:tc>
          <w:tcPr>
            <w:tcW w:w="4230" w:type="dxa"/>
            <w:vAlign w:val="center"/>
          </w:tcPr>
          <w:p w:rsidR="007230AE" w:rsidRPr="004B30FB" w:rsidRDefault="007230AE" w:rsidP="00196C43">
            <w:r>
              <w:t>Quality Factor (π-Q)</w:t>
            </w:r>
          </w:p>
        </w:tc>
        <w:tc>
          <w:tcPr>
            <w:tcW w:w="2160" w:type="dxa"/>
            <w:vAlign w:val="center"/>
          </w:tcPr>
          <w:p w:rsidR="007230AE" w:rsidRPr="004B30FB" w:rsidRDefault="007230AE" w:rsidP="00196C43">
            <w:r>
              <w:t>1</w:t>
            </w:r>
          </w:p>
        </w:tc>
        <w:tc>
          <w:tcPr>
            <w:tcW w:w="2610" w:type="dxa"/>
            <w:vAlign w:val="center"/>
          </w:tcPr>
          <w:p w:rsidR="007230AE" w:rsidRPr="004B30FB" w:rsidRDefault="007230AE" w:rsidP="00196C43">
            <w:r>
              <w:t>Per AVX Inc. “Technical Summary and Application Guidelines” Section 3.1</w:t>
            </w:r>
          </w:p>
        </w:tc>
      </w:tr>
      <w:tr w:rsidR="007230AE" w:rsidTr="00196C43">
        <w:tc>
          <w:tcPr>
            <w:tcW w:w="4230" w:type="dxa"/>
            <w:vAlign w:val="center"/>
          </w:tcPr>
          <w:p w:rsidR="007230AE" w:rsidRPr="004B30FB" w:rsidRDefault="007230AE" w:rsidP="00196C43">
            <w:r>
              <w:t>Environment Factor (π-E)</w:t>
            </w:r>
          </w:p>
        </w:tc>
        <w:tc>
          <w:tcPr>
            <w:tcW w:w="2160" w:type="dxa"/>
            <w:vAlign w:val="center"/>
          </w:tcPr>
          <w:p w:rsidR="007230AE" w:rsidRPr="004B30FB" w:rsidRDefault="007230AE" w:rsidP="00196C43">
            <w:r>
              <w:t>1</w:t>
            </w:r>
          </w:p>
        </w:tc>
        <w:tc>
          <w:tcPr>
            <w:tcW w:w="2610" w:type="dxa"/>
            <w:vAlign w:val="center"/>
          </w:tcPr>
          <w:p w:rsidR="007230AE" w:rsidRPr="004B30FB" w:rsidRDefault="007230AE" w:rsidP="00196C43">
            <w:r>
              <w:t>Ground Benign</w:t>
            </w:r>
          </w:p>
        </w:tc>
      </w:tr>
    </w:tbl>
    <w:p w:rsidR="007230AE" w:rsidRDefault="007230AE" w:rsidP="007230AE">
      <w:pPr>
        <w:rPr>
          <w:b/>
        </w:rPr>
      </w:pPr>
    </w:p>
    <w:p w:rsidR="007230AE" w:rsidRDefault="007230AE" w:rsidP="007230AE">
      <w:pPr>
        <w:rPr>
          <w:b/>
        </w:rPr>
      </w:pPr>
    </w:p>
    <w:p w:rsidR="007230AE" w:rsidRDefault="007230AE" w:rsidP="007230AE">
      <w:pPr>
        <w:jc w:val="center"/>
        <w:rPr>
          <w:b/>
        </w:rPr>
      </w:pPr>
      <w:r>
        <w:rPr>
          <w:b/>
        </w:rPr>
        <w:t>General Form of Metalized Film Capacitor Failure Rate (failures per 10</w:t>
      </w:r>
      <w:r w:rsidRPr="004C5114">
        <w:rPr>
          <w:b/>
          <w:vertAlign w:val="superscript"/>
        </w:rPr>
        <w:t>6</w:t>
      </w:r>
      <w:r>
        <w:rPr>
          <w:b/>
        </w:rPr>
        <w:t xml:space="preserve"> hours)</w:t>
      </w:r>
    </w:p>
    <w:p w:rsidR="007230AE" w:rsidRDefault="007230AE" w:rsidP="007230AE">
      <w:pPr>
        <w:jc w:val="center"/>
        <w:rPr>
          <w:b/>
        </w:rPr>
      </w:pPr>
    </w:p>
    <w:p w:rsidR="007230AE" w:rsidRPr="007230AE" w:rsidRDefault="00100149" w:rsidP="007230AE">
      <m:oMathPara>
        <m:oMath>
          <m:sSub>
            <m:sSubPr>
              <m:ctrlPr>
                <w:rPr>
                  <w:rFonts w:ascii="Cambria Math" w:hAnsi="Cambria Math"/>
                  <w:i/>
                </w:rPr>
              </m:ctrlPr>
            </m:sSubPr>
            <m:e>
              <m:r>
                <m:rPr>
                  <m:nor/>
                </m:rPr>
                <w:rPr>
                  <w:rFonts w:ascii="Cambria Math" w:hAnsi="Cambria Math"/>
                </w:rPr>
                <m:t>λ</m:t>
              </m:r>
            </m:e>
            <m:sub>
              <m:r>
                <w:rPr>
                  <w:rFonts w:ascii="Cambria Math" w:hAnsi="Cambria Math"/>
                </w:rPr>
                <m:t>p</m:t>
              </m:r>
            </m:sub>
          </m:sSub>
          <m:r>
            <w:rPr>
              <w:rFonts w:ascii="Cambria Math" w:hAnsi="Cambria Math"/>
            </w:rPr>
            <m:t>=</m:t>
          </m:r>
          <m:sSub>
            <m:sSubPr>
              <m:ctrlPr>
                <w:rPr>
                  <w:rFonts w:ascii="Cambria Math" w:hAnsi="Cambria Math"/>
                  <w:i/>
                </w:rPr>
              </m:ctrlPr>
            </m:sSubPr>
            <m:e>
              <m:r>
                <m:rPr>
                  <m:nor/>
                </m:rPr>
                <w:rPr>
                  <w:rFonts w:ascii="Cambria Math" w:hAnsi="Cambria Math"/>
                </w:rPr>
                <m:t>λ</m:t>
              </m:r>
            </m:e>
            <m:sub>
              <m:r>
                <w:rPr>
                  <w:rFonts w:ascii="Cambria Math" w:hAnsi="Cambria Math"/>
                </w:rPr>
                <m:t>B</m:t>
              </m:r>
            </m:sub>
          </m:sSub>
          <m:sSub>
            <m:sSubPr>
              <m:ctrlPr>
                <w:rPr>
                  <w:rFonts w:ascii="Cambria Math" w:hAnsi="Cambria Math"/>
                  <w:i/>
                </w:rPr>
              </m:ctrlPr>
            </m:sSubPr>
            <m:e>
              <m:r>
                <w:rPr>
                  <w:rFonts w:ascii="Cambria Math" w:hAnsi="Cambria Math"/>
                </w:rPr>
                <m:t>π</m:t>
              </m:r>
            </m:e>
            <m:sub>
              <m:r>
                <w:rPr>
                  <w:rFonts w:ascii="Cambria Math" w:hAnsi="Cambria Math"/>
                </w:rPr>
                <m:t>CV</m:t>
              </m:r>
            </m:sub>
          </m:sSub>
          <m:sSub>
            <m:sSubPr>
              <m:ctrlPr>
                <w:rPr>
                  <w:rFonts w:ascii="Cambria Math" w:hAnsi="Cambria Math"/>
                  <w:i/>
                </w:rPr>
              </m:ctrlPr>
            </m:sSubPr>
            <m:e>
              <m:sSub>
                <m:sSubPr>
                  <m:ctrlPr>
                    <w:rPr>
                      <w:rFonts w:ascii="Cambria Math" w:hAnsi="Cambria Math"/>
                      <w:i/>
                    </w:rPr>
                  </m:ctrlPr>
                </m:sSubPr>
                <m:e>
                  <m:r>
                    <w:rPr>
                      <w:rFonts w:ascii="Cambria Math" w:hAnsi="Cambria Math"/>
                    </w:rPr>
                    <m:t>π</m:t>
                  </m:r>
                </m:e>
                <m:sub>
                  <m:r>
                    <w:rPr>
                      <w:rFonts w:ascii="Cambria Math" w:hAnsi="Cambria Math"/>
                    </w:rPr>
                    <m:t>SR</m:t>
                  </m:r>
                </m:sub>
              </m:sSub>
              <m:r>
                <w:rPr>
                  <w:rFonts w:ascii="Cambria Math" w:hAnsi="Cambria Math"/>
                </w:rPr>
                <m:t>π</m:t>
              </m:r>
            </m:e>
            <m:sub>
              <m:r>
                <w:rPr>
                  <w:rFonts w:ascii="Cambria Math" w:hAnsi="Cambria Math"/>
                </w:rPr>
                <m:t>Q</m:t>
              </m:r>
            </m:sub>
          </m:sSub>
          <m:sSub>
            <m:sSubPr>
              <m:ctrlPr>
                <w:rPr>
                  <w:rFonts w:ascii="Cambria Math" w:hAnsi="Cambria Math"/>
                  <w:i/>
                </w:rPr>
              </m:ctrlPr>
            </m:sSubPr>
            <m:e>
              <m:r>
                <w:rPr>
                  <w:rFonts w:ascii="Cambria Math" w:hAnsi="Cambria Math"/>
                </w:rPr>
                <m:t>π</m:t>
              </m:r>
            </m:e>
            <m:sub>
              <m:r>
                <w:rPr>
                  <w:rFonts w:ascii="Cambria Math" w:hAnsi="Cambria Math"/>
                </w:rPr>
                <m:t>E</m:t>
              </m:r>
            </m:sub>
          </m:sSub>
        </m:oMath>
      </m:oMathPara>
    </w:p>
    <w:p w:rsidR="007230AE" w:rsidRDefault="007230AE" w:rsidP="007230AE"/>
    <w:p w:rsidR="004C3A7E" w:rsidRDefault="007230AE" w:rsidP="007230AE">
      <w:pPr>
        <w:pStyle w:val="ListParagraph"/>
        <w:numPr>
          <w:ilvl w:val="0"/>
          <w:numId w:val="32"/>
        </w:numPr>
        <w:rPr>
          <w:b/>
        </w:rPr>
      </w:pPr>
      <w:r>
        <w:rPr>
          <w:b/>
        </w:rPr>
        <w:t>Application Example</w:t>
      </w:r>
    </w:p>
    <w:p w:rsidR="007230AE" w:rsidRDefault="007230AE" w:rsidP="007230AE">
      <w:pPr>
        <w:ind w:firstLine="720"/>
      </w:pPr>
      <w:r>
        <w:t>LIGO-D070081 is an Anti-aliasing board</w:t>
      </w:r>
      <w:r w:rsidR="00A91AB6">
        <w:t xml:space="preserve"> commonly found in aLIGO subsystems.  By looking up the bill of materials associated with this board, a count of each component type can be made.  The individual component type failure rates shown in the previous sections can be multiplied by the total number of each part to obtain part failure rates per chassis.  As failure rates combine simply by addition, the total failure rate for a chassis is easily obtained.</w:t>
      </w:r>
    </w:p>
    <w:p w:rsidR="00A91AB6" w:rsidRDefault="00A91AB6" w:rsidP="007230AE">
      <w:pPr>
        <w:ind w:firstLine="720"/>
      </w:pPr>
    </w:p>
    <w:tbl>
      <w:tblPr>
        <w:tblStyle w:val="TableGrid"/>
        <w:tblW w:w="0" w:type="auto"/>
        <w:tblInd w:w="-16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15"/>
        <w:gridCol w:w="2124"/>
        <w:gridCol w:w="1869"/>
        <w:gridCol w:w="1560"/>
        <w:gridCol w:w="1350"/>
      </w:tblGrid>
      <w:tr w:rsidR="009550D7" w:rsidTr="009550D7">
        <w:tc>
          <w:tcPr>
            <w:tcW w:w="2115" w:type="dxa"/>
          </w:tcPr>
          <w:p w:rsidR="009550D7" w:rsidRDefault="009550D7" w:rsidP="00196C43">
            <w:pPr>
              <w:rPr>
                <w:b/>
              </w:rPr>
            </w:pPr>
            <w:r>
              <w:rPr>
                <w:b/>
              </w:rPr>
              <w:t>AA Chassis Item</w:t>
            </w:r>
          </w:p>
        </w:tc>
        <w:tc>
          <w:tcPr>
            <w:tcW w:w="2124" w:type="dxa"/>
          </w:tcPr>
          <w:p w:rsidR="009550D7" w:rsidRDefault="009550D7" w:rsidP="00196C43">
            <w:pPr>
              <w:rPr>
                <w:b/>
              </w:rPr>
            </w:pPr>
            <w:r>
              <w:rPr>
                <w:b/>
              </w:rPr>
              <w:t>Failure Rate</w:t>
            </w:r>
          </w:p>
        </w:tc>
        <w:tc>
          <w:tcPr>
            <w:tcW w:w="1869" w:type="dxa"/>
          </w:tcPr>
          <w:p w:rsidR="009550D7" w:rsidRDefault="009550D7" w:rsidP="00196C43">
            <w:pPr>
              <w:rPr>
                <w:b/>
              </w:rPr>
            </w:pPr>
            <w:r>
              <w:rPr>
                <w:b/>
              </w:rPr>
              <w:t>Number of Parts</w:t>
            </w:r>
          </w:p>
        </w:tc>
        <w:tc>
          <w:tcPr>
            <w:tcW w:w="1560" w:type="dxa"/>
          </w:tcPr>
          <w:p w:rsidR="009550D7" w:rsidRDefault="009550D7" w:rsidP="00196C43">
            <w:pPr>
              <w:rPr>
                <w:b/>
              </w:rPr>
            </w:pPr>
            <w:r>
              <w:rPr>
                <w:b/>
              </w:rPr>
              <w:t>Total Failure Rate</w:t>
            </w:r>
          </w:p>
        </w:tc>
        <w:tc>
          <w:tcPr>
            <w:tcW w:w="1350" w:type="dxa"/>
          </w:tcPr>
          <w:p w:rsidR="009550D7" w:rsidRDefault="009550D7" w:rsidP="00196C43">
            <w:pPr>
              <w:rPr>
                <w:b/>
              </w:rPr>
            </w:pPr>
            <w:r>
              <w:rPr>
                <w:b/>
              </w:rPr>
              <w:t>MTBF</w:t>
            </w:r>
          </w:p>
        </w:tc>
      </w:tr>
      <w:tr w:rsidR="009550D7" w:rsidTr="009550D7">
        <w:tc>
          <w:tcPr>
            <w:tcW w:w="2115" w:type="dxa"/>
            <w:vAlign w:val="center"/>
          </w:tcPr>
          <w:p w:rsidR="009550D7" w:rsidRPr="004B30FB" w:rsidRDefault="009550D7" w:rsidP="00196C43">
            <w:r>
              <w:t>Opamps</w:t>
            </w:r>
          </w:p>
        </w:tc>
        <w:tc>
          <w:tcPr>
            <w:tcW w:w="2124" w:type="dxa"/>
            <w:vAlign w:val="center"/>
          </w:tcPr>
          <w:p w:rsidR="009550D7" w:rsidRPr="004B30FB" w:rsidRDefault="009550D7" w:rsidP="00196C43">
            <w:r>
              <w:t>0.03 per 10</w:t>
            </w:r>
            <w:r w:rsidRPr="00D758BF">
              <w:rPr>
                <w:vertAlign w:val="superscript"/>
              </w:rPr>
              <w:t>6</w:t>
            </w:r>
            <w:r>
              <w:t xml:space="preserve"> hours</w:t>
            </w:r>
          </w:p>
        </w:tc>
        <w:tc>
          <w:tcPr>
            <w:tcW w:w="1869" w:type="dxa"/>
            <w:vAlign w:val="center"/>
          </w:tcPr>
          <w:p w:rsidR="009550D7" w:rsidRPr="004B30FB" w:rsidRDefault="009550D7" w:rsidP="00196C43">
            <w:r>
              <w:t>96</w:t>
            </w:r>
          </w:p>
        </w:tc>
        <w:tc>
          <w:tcPr>
            <w:tcW w:w="1560" w:type="dxa"/>
          </w:tcPr>
          <w:p w:rsidR="009550D7" w:rsidRDefault="009550D7" w:rsidP="00196C43">
            <w:r>
              <w:t>2.92 per 10</w:t>
            </w:r>
            <w:r w:rsidRPr="00D758BF">
              <w:rPr>
                <w:vertAlign w:val="superscript"/>
              </w:rPr>
              <w:t>6</w:t>
            </w:r>
            <w:r>
              <w:t xml:space="preserve"> hours</w:t>
            </w:r>
          </w:p>
        </w:tc>
        <w:tc>
          <w:tcPr>
            <w:tcW w:w="1350" w:type="dxa"/>
          </w:tcPr>
          <w:p w:rsidR="009550D7" w:rsidRDefault="009550D7" w:rsidP="00196C43">
            <w:r>
              <w:t>3.43e5 (Hours)</w:t>
            </w:r>
          </w:p>
        </w:tc>
      </w:tr>
      <w:tr w:rsidR="009550D7" w:rsidTr="009550D7">
        <w:tc>
          <w:tcPr>
            <w:tcW w:w="2115" w:type="dxa"/>
            <w:vAlign w:val="center"/>
          </w:tcPr>
          <w:p w:rsidR="009550D7" w:rsidRPr="004B30FB" w:rsidRDefault="009550D7" w:rsidP="00196C43">
            <w:r>
              <w:t>Resistors</w:t>
            </w:r>
          </w:p>
        </w:tc>
        <w:tc>
          <w:tcPr>
            <w:tcW w:w="2124" w:type="dxa"/>
            <w:vAlign w:val="center"/>
          </w:tcPr>
          <w:p w:rsidR="009550D7" w:rsidRPr="004B30FB" w:rsidRDefault="009550D7" w:rsidP="00196C43">
            <w:r>
              <w:t>3.6e-5 per 10</w:t>
            </w:r>
            <w:r w:rsidRPr="00633443">
              <w:rPr>
                <w:vertAlign w:val="superscript"/>
              </w:rPr>
              <w:t>6</w:t>
            </w:r>
            <w:r>
              <w:t xml:space="preserve"> hours</w:t>
            </w:r>
          </w:p>
        </w:tc>
        <w:tc>
          <w:tcPr>
            <w:tcW w:w="1869" w:type="dxa"/>
            <w:vAlign w:val="center"/>
          </w:tcPr>
          <w:p w:rsidR="009550D7" w:rsidRPr="004B30FB" w:rsidRDefault="009550D7" w:rsidP="00196C43">
            <w:r>
              <w:t>1376</w:t>
            </w:r>
          </w:p>
        </w:tc>
        <w:tc>
          <w:tcPr>
            <w:tcW w:w="1560" w:type="dxa"/>
          </w:tcPr>
          <w:p w:rsidR="009550D7" w:rsidRDefault="009550D7" w:rsidP="00196C43">
            <w:r>
              <w:t>0.05 per 10</w:t>
            </w:r>
            <w:r w:rsidRPr="00D758BF">
              <w:rPr>
                <w:vertAlign w:val="superscript"/>
              </w:rPr>
              <w:t>6</w:t>
            </w:r>
            <w:r>
              <w:t xml:space="preserve"> hours</w:t>
            </w:r>
          </w:p>
        </w:tc>
        <w:tc>
          <w:tcPr>
            <w:tcW w:w="1350" w:type="dxa"/>
          </w:tcPr>
          <w:p w:rsidR="009550D7" w:rsidRDefault="00136B7B" w:rsidP="00136B7B">
            <w:r>
              <w:t xml:space="preserve">2.02 </w:t>
            </w:r>
            <w:r w:rsidR="009550D7">
              <w:t>e</w:t>
            </w:r>
            <w:r>
              <w:t>7</w:t>
            </w:r>
            <w:r w:rsidR="009550D7">
              <w:t xml:space="preserve"> (Hours)</w:t>
            </w:r>
          </w:p>
        </w:tc>
      </w:tr>
      <w:tr w:rsidR="009550D7" w:rsidTr="009550D7">
        <w:tc>
          <w:tcPr>
            <w:tcW w:w="2115" w:type="dxa"/>
            <w:vAlign w:val="center"/>
          </w:tcPr>
          <w:p w:rsidR="009550D7" w:rsidRPr="004B30FB" w:rsidRDefault="009550D7" w:rsidP="00196C43">
            <w:r>
              <w:t>Ceramic Capacitors</w:t>
            </w:r>
          </w:p>
        </w:tc>
        <w:tc>
          <w:tcPr>
            <w:tcW w:w="2124" w:type="dxa"/>
            <w:vAlign w:val="center"/>
          </w:tcPr>
          <w:p w:rsidR="009550D7" w:rsidRPr="004B30FB" w:rsidRDefault="00136B7B" w:rsidP="00196C43">
            <w:r>
              <w:t>5.27e-3 per 10</w:t>
            </w:r>
            <w:r w:rsidRPr="00633443">
              <w:rPr>
                <w:vertAlign w:val="superscript"/>
              </w:rPr>
              <w:t>6</w:t>
            </w:r>
            <w:r>
              <w:t xml:space="preserve"> hours</w:t>
            </w:r>
          </w:p>
        </w:tc>
        <w:tc>
          <w:tcPr>
            <w:tcW w:w="1869" w:type="dxa"/>
            <w:vAlign w:val="center"/>
          </w:tcPr>
          <w:p w:rsidR="009550D7" w:rsidRPr="004B30FB" w:rsidRDefault="009550D7" w:rsidP="00196C43">
            <w:r>
              <w:t>384</w:t>
            </w:r>
          </w:p>
        </w:tc>
        <w:tc>
          <w:tcPr>
            <w:tcW w:w="1560" w:type="dxa"/>
          </w:tcPr>
          <w:p w:rsidR="009550D7" w:rsidRDefault="00136B7B" w:rsidP="00196C43">
            <w:r>
              <w:t>2.02 per 10</w:t>
            </w:r>
            <w:r w:rsidRPr="00D758BF">
              <w:rPr>
                <w:vertAlign w:val="superscript"/>
              </w:rPr>
              <w:t>6</w:t>
            </w:r>
            <w:r>
              <w:t xml:space="preserve"> hours</w:t>
            </w:r>
          </w:p>
        </w:tc>
        <w:tc>
          <w:tcPr>
            <w:tcW w:w="1350" w:type="dxa"/>
          </w:tcPr>
          <w:p w:rsidR="009550D7" w:rsidRDefault="00136B7B" w:rsidP="00196C43">
            <w:r>
              <w:t>4.94</w:t>
            </w:r>
            <w:r w:rsidR="009550D7">
              <w:t>e5 (Hours)</w:t>
            </w:r>
          </w:p>
        </w:tc>
      </w:tr>
      <w:tr w:rsidR="009550D7" w:rsidTr="009550D7">
        <w:tc>
          <w:tcPr>
            <w:tcW w:w="2115" w:type="dxa"/>
            <w:vAlign w:val="center"/>
          </w:tcPr>
          <w:p w:rsidR="009550D7" w:rsidRPr="004B30FB" w:rsidRDefault="009550D7" w:rsidP="00196C43">
            <w:r>
              <w:t>Metalized Film Capacitors</w:t>
            </w:r>
          </w:p>
        </w:tc>
        <w:tc>
          <w:tcPr>
            <w:tcW w:w="2124" w:type="dxa"/>
            <w:vAlign w:val="center"/>
          </w:tcPr>
          <w:p w:rsidR="009550D7" w:rsidRPr="004B30FB" w:rsidRDefault="00136B7B" w:rsidP="00196C43">
            <w:r>
              <w:t>1.3e-4 per 10</w:t>
            </w:r>
            <w:r w:rsidRPr="00633443">
              <w:rPr>
                <w:vertAlign w:val="superscript"/>
              </w:rPr>
              <w:t>6</w:t>
            </w:r>
            <w:r>
              <w:t xml:space="preserve"> hours</w:t>
            </w:r>
          </w:p>
        </w:tc>
        <w:tc>
          <w:tcPr>
            <w:tcW w:w="1869" w:type="dxa"/>
            <w:vAlign w:val="center"/>
          </w:tcPr>
          <w:p w:rsidR="009550D7" w:rsidRPr="004B30FB" w:rsidRDefault="009550D7" w:rsidP="00196C43">
            <w:r>
              <w:t>288</w:t>
            </w:r>
          </w:p>
        </w:tc>
        <w:tc>
          <w:tcPr>
            <w:tcW w:w="1560" w:type="dxa"/>
          </w:tcPr>
          <w:p w:rsidR="009550D7" w:rsidRDefault="00136B7B" w:rsidP="00196C43">
            <w:r>
              <w:t>0.04 per 10</w:t>
            </w:r>
            <w:r w:rsidRPr="00D758BF">
              <w:rPr>
                <w:vertAlign w:val="superscript"/>
              </w:rPr>
              <w:t>6</w:t>
            </w:r>
            <w:r>
              <w:t xml:space="preserve"> hours</w:t>
            </w:r>
          </w:p>
        </w:tc>
        <w:tc>
          <w:tcPr>
            <w:tcW w:w="1350" w:type="dxa"/>
          </w:tcPr>
          <w:p w:rsidR="009550D7" w:rsidRDefault="00136B7B" w:rsidP="00196C43">
            <w:r>
              <w:t>2.67e7</w:t>
            </w:r>
            <w:r w:rsidR="009550D7">
              <w:t xml:space="preserve"> (Hours)</w:t>
            </w:r>
          </w:p>
        </w:tc>
      </w:tr>
      <w:tr w:rsidR="009550D7" w:rsidTr="009550D7">
        <w:tc>
          <w:tcPr>
            <w:tcW w:w="2115" w:type="dxa"/>
            <w:vAlign w:val="center"/>
          </w:tcPr>
          <w:p w:rsidR="009550D7" w:rsidRPr="004B30FB" w:rsidRDefault="009550D7" w:rsidP="00196C43">
            <w:r>
              <w:t>Tantalum Capacitors</w:t>
            </w:r>
          </w:p>
        </w:tc>
        <w:tc>
          <w:tcPr>
            <w:tcW w:w="2124" w:type="dxa"/>
            <w:vAlign w:val="center"/>
          </w:tcPr>
          <w:p w:rsidR="009550D7" w:rsidRPr="004B30FB" w:rsidRDefault="00136B7B" w:rsidP="00196C43">
            <w:r>
              <w:t>7.4e-3 per 10</w:t>
            </w:r>
            <w:r w:rsidRPr="00D758BF">
              <w:rPr>
                <w:vertAlign w:val="superscript"/>
              </w:rPr>
              <w:t>6</w:t>
            </w:r>
            <w:r>
              <w:t xml:space="preserve"> hours</w:t>
            </w:r>
          </w:p>
        </w:tc>
        <w:tc>
          <w:tcPr>
            <w:tcW w:w="1869" w:type="dxa"/>
            <w:vAlign w:val="center"/>
          </w:tcPr>
          <w:p w:rsidR="009550D7" w:rsidRPr="004B30FB" w:rsidRDefault="009550D7" w:rsidP="00196C43">
            <w:r>
              <w:t>16</w:t>
            </w:r>
          </w:p>
        </w:tc>
        <w:tc>
          <w:tcPr>
            <w:tcW w:w="1560" w:type="dxa"/>
          </w:tcPr>
          <w:p w:rsidR="009550D7" w:rsidRDefault="00136B7B" w:rsidP="00196C43">
            <w:r>
              <w:t>0.12 per 10</w:t>
            </w:r>
            <w:r w:rsidRPr="00D758BF">
              <w:rPr>
                <w:vertAlign w:val="superscript"/>
              </w:rPr>
              <w:t>6</w:t>
            </w:r>
            <w:r>
              <w:t xml:space="preserve"> hours</w:t>
            </w:r>
          </w:p>
        </w:tc>
        <w:tc>
          <w:tcPr>
            <w:tcW w:w="1350" w:type="dxa"/>
          </w:tcPr>
          <w:p w:rsidR="009550D7" w:rsidRDefault="00136B7B" w:rsidP="00196C43">
            <w:r>
              <w:t xml:space="preserve">8.46e6 </w:t>
            </w:r>
            <w:r w:rsidR="009550D7">
              <w:t>(Hours)</w:t>
            </w:r>
          </w:p>
        </w:tc>
      </w:tr>
      <w:tr w:rsidR="009550D7" w:rsidTr="009550D7">
        <w:tc>
          <w:tcPr>
            <w:tcW w:w="2115" w:type="dxa"/>
            <w:vAlign w:val="center"/>
          </w:tcPr>
          <w:p w:rsidR="009550D7" w:rsidRPr="00196C43" w:rsidRDefault="00196C43" w:rsidP="00196C43">
            <w:pPr>
              <w:rPr>
                <w:b/>
              </w:rPr>
            </w:pPr>
            <w:r w:rsidRPr="00196C43">
              <w:rPr>
                <w:b/>
              </w:rPr>
              <w:t>Total of all parts</w:t>
            </w:r>
          </w:p>
        </w:tc>
        <w:tc>
          <w:tcPr>
            <w:tcW w:w="2124" w:type="dxa"/>
            <w:vAlign w:val="center"/>
          </w:tcPr>
          <w:p w:rsidR="009550D7" w:rsidRPr="00196C43" w:rsidRDefault="009550D7" w:rsidP="00196C43">
            <w:pPr>
              <w:rPr>
                <w:b/>
              </w:rPr>
            </w:pPr>
          </w:p>
        </w:tc>
        <w:tc>
          <w:tcPr>
            <w:tcW w:w="1869" w:type="dxa"/>
            <w:vAlign w:val="center"/>
          </w:tcPr>
          <w:p w:rsidR="009550D7" w:rsidRPr="00196C43" w:rsidRDefault="009550D7" w:rsidP="00196C43">
            <w:pPr>
              <w:rPr>
                <w:b/>
              </w:rPr>
            </w:pPr>
          </w:p>
        </w:tc>
        <w:tc>
          <w:tcPr>
            <w:tcW w:w="1560" w:type="dxa"/>
          </w:tcPr>
          <w:p w:rsidR="009550D7" w:rsidRPr="00196C43" w:rsidRDefault="00196C43" w:rsidP="00196C43">
            <w:pPr>
              <w:rPr>
                <w:b/>
              </w:rPr>
            </w:pPr>
            <w:r w:rsidRPr="00196C43">
              <w:rPr>
                <w:b/>
              </w:rPr>
              <w:t>5.15 per 10</w:t>
            </w:r>
            <w:r w:rsidRPr="00196C43">
              <w:rPr>
                <w:b/>
                <w:vertAlign w:val="superscript"/>
              </w:rPr>
              <w:t>6</w:t>
            </w:r>
            <w:r w:rsidRPr="00196C43">
              <w:rPr>
                <w:b/>
              </w:rPr>
              <w:t xml:space="preserve"> hours</w:t>
            </w:r>
          </w:p>
        </w:tc>
        <w:tc>
          <w:tcPr>
            <w:tcW w:w="1350" w:type="dxa"/>
          </w:tcPr>
          <w:p w:rsidR="009550D7" w:rsidRPr="00196C43" w:rsidRDefault="00F929A1" w:rsidP="00196C43">
            <w:pPr>
              <w:rPr>
                <w:b/>
              </w:rPr>
            </w:pPr>
            <w:r>
              <w:rPr>
                <w:b/>
              </w:rPr>
              <w:t>1.94e5</w:t>
            </w:r>
            <w:r w:rsidR="009550D7" w:rsidRPr="00196C43">
              <w:rPr>
                <w:b/>
              </w:rPr>
              <w:t xml:space="preserve"> (Hours)</w:t>
            </w:r>
          </w:p>
        </w:tc>
      </w:tr>
    </w:tbl>
    <w:p w:rsidR="00A91AB6" w:rsidRDefault="00A91AB6" w:rsidP="00A91AB6"/>
    <w:p w:rsidR="00196C43" w:rsidRDefault="00196C43" w:rsidP="00196C43">
      <w:pPr>
        <w:ind w:firstLine="720"/>
      </w:pPr>
      <w:r>
        <w:lastRenderedPageBreak/>
        <w:t>Without significant error, the results above can be extended to other aLIGO designs simply by tallying the part counts of the five categories of parts, and multiplying the item failure rate by the number of parts.  Sum the failure rates for a total failure rate per chassis.  MTBF</w:t>
      </w:r>
      <w:r w:rsidR="007A09C9">
        <w:t xml:space="preserve"> tells the amount of time for ~63% of a population of parts to fail and</w:t>
      </w:r>
      <w:r>
        <w:t xml:space="preserve"> relates to total failure rate by the following:</w:t>
      </w:r>
    </w:p>
    <w:p w:rsidR="00196C43" w:rsidRDefault="00196C43" w:rsidP="00196C43">
      <w:pPr>
        <w:ind w:firstLine="720"/>
      </w:pPr>
    </w:p>
    <w:p w:rsidR="00196C43" w:rsidRPr="00196C43" w:rsidRDefault="00196C43" w:rsidP="00196C43">
      <m:oMathPara>
        <m:oMath>
          <m:r>
            <m:rPr>
              <m:nor/>
            </m:rPr>
            <w:rPr>
              <w:rFonts w:ascii="Cambria Math" w:hAnsi="Cambria Math"/>
              <w:i/>
            </w:rPr>
            <m:t>MTBF</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Total Failure Rate</m:t>
              </m:r>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p w:rsidR="00196C43" w:rsidRDefault="00196C43" w:rsidP="00196C43">
      <w:pPr>
        <w:ind w:firstLine="720"/>
      </w:pPr>
    </w:p>
    <w:p w:rsidR="00196C43" w:rsidRDefault="00196C43" w:rsidP="00196C43">
      <w:pPr>
        <w:ind w:firstLine="720"/>
      </w:pPr>
      <w:r>
        <w:t>A collection of representative aLIGO design failure rates are shown below ranging in complexity from simple devices to complex.</w:t>
      </w:r>
      <w:r w:rsidR="008115AE">
        <w:t xml:space="preserve">  Given the coarse nature of these calculations, it is not unreasonable to simply compare a given design to these reference designs and round off to a “close” number.  The error will be </w:t>
      </w:r>
      <w:r w:rsidR="003549BD">
        <w:t>insignificant</w:t>
      </w:r>
      <w:r w:rsidR="008115AE">
        <w:t xml:space="preserve"> and conservatively covered by the rounding up intrinsic to the sparing policy.</w:t>
      </w:r>
    </w:p>
    <w:p w:rsidR="00196C43" w:rsidRDefault="00196C43" w:rsidP="00196C43">
      <w:pPr>
        <w:ind w:firstLine="720"/>
      </w:pPr>
    </w:p>
    <w:p w:rsidR="008115AE" w:rsidRDefault="008115AE" w:rsidP="00196C43">
      <w:pPr>
        <w:ind w:firstLine="720"/>
      </w:pPr>
    </w:p>
    <w:tbl>
      <w:tblPr>
        <w:tblStyle w:val="TableGrid"/>
        <w:tblW w:w="0" w:type="auto"/>
        <w:jc w:val="center"/>
        <w:tblInd w:w="-16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15"/>
        <w:gridCol w:w="1703"/>
        <w:gridCol w:w="1207"/>
        <w:gridCol w:w="1350"/>
      </w:tblGrid>
      <w:tr w:rsidR="00196C43" w:rsidTr="0060154A">
        <w:trPr>
          <w:jc w:val="center"/>
        </w:trPr>
        <w:tc>
          <w:tcPr>
            <w:tcW w:w="2115" w:type="dxa"/>
          </w:tcPr>
          <w:p w:rsidR="00196C43" w:rsidRDefault="00196C43" w:rsidP="00196C43">
            <w:pPr>
              <w:rPr>
                <w:b/>
              </w:rPr>
            </w:pPr>
            <w:r>
              <w:rPr>
                <w:b/>
              </w:rPr>
              <w:t>Chassis Type</w:t>
            </w:r>
          </w:p>
        </w:tc>
        <w:tc>
          <w:tcPr>
            <w:tcW w:w="1703" w:type="dxa"/>
          </w:tcPr>
          <w:p w:rsidR="00196C43" w:rsidRDefault="00196C43" w:rsidP="00196C43">
            <w:pPr>
              <w:rPr>
                <w:b/>
              </w:rPr>
            </w:pPr>
            <w:r>
              <w:rPr>
                <w:b/>
              </w:rPr>
              <w:t xml:space="preserve">Total </w:t>
            </w:r>
            <w:r w:rsidR="007A09C9">
              <w:rPr>
                <w:b/>
              </w:rPr>
              <w:t xml:space="preserve">chassis </w:t>
            </w:r>
            <w:r>
              <w:rPr>
                <w:b/>
              </w:rPr>
              <w:t>Failure Rate</w:t>
            </w:r>
            <w:r w:rsidR="0060154A">
              <w:rPr>
                <w:b/>
              </w:rPr>
              <w:t xml:space="preserve"> per 10</w:t>
            </w:r>
            <w:r w:rsidR="0060154A" w:rsidRPr="0060154A">
              <w:rPr>
                <w:b/>
                <w:vertAlign w:val="superscript"/>
              </w:rPr>
              <w:t xml:space="preserve">6 </w:t>
            </w:r>
            <w:r w:rsidR="0060154A">
              <w:rPr>
                <w:b/>
              </w:rPr>
              <w:t>hours</w:t>
            </w:r>
          </w:p>
        </w:tc>
        <w:tc>
          <w:tcPr>
            <w:tcW w:w="1207" w:type="dxa"/>
          </w:tcPr>
          <w:p w:rsidR="00196C43" w:rsidRDefault="00196C43" w:rsidP="00196C43">
            <w:pPr>
              <w:rPr>
                <w:b/>
              </w:rPr>
            </w:pPr>
            <w:r>
              <w:rPr>
                <w:b/>
              </w:rPr>
              <w:t>MTBF (hours)</w:t>
            </w:r>
          </w:p>
        </w:tc>
        <w:tc>
          <w:tcPr>
            <w:tcW w:w="1350" w:type="dxa"/>
          </w:tcPr>
          <w:p w:rsidR="00196C43" w:rsidRDefault="00196C43" w:rsidP="00196C43">
            <w:pPr>
              <w:rPr>
                <w:b/>
              </w:rPr>
            </w:pPr>
            <w:r>
              <w:rPr>
                <w:b/>
              </w:rPr>
              <w:t>MTBF (years)</w:t>
            </w:r>
          </w:p>
        </w:tc>
      </w:tr>
      <w:tr w:rsidR="00196C43" w:rsidTr="0060154A">
        <w:trPr>
          <w:jc w:val="center"/>
        </w:trPr>
        <w:tc>
          <w:tcPr>
            <w:tcW w:w="2115" w:type="dxa"/>
            <w:vAlign w:val="center"/>
          </w:tcPr>
          <w:p w:rsidR="00196C43" w:rsidRPr="004B30FB" w:rsidRDefault="00196C43" w:rsidP="00196C43">
            <w:r>
              <w:t>LSC RFPD</w:t>
            </w:r>
          </w:p>
        </w:tc>
        <w:tc>
          <w:tcPr>
            <w:tcW w:w="1703" w:type="dxa"/>
          </w:tcPr>
          <w:p w:rsidR="00196C43" w:rsidRDefault="0060154A" w:rsidP="0060154A">
            <w:r>
              <w:t>0.76</w:t>
            </w:r>
            <w:r w:rsidR="00196C43">
              <w:t xml:space="preserve"> </w:t>
            </w:r>
          </w:p>
        </w:tc>
        <w:tc>
          <w:tcPr>
            <w:tcW w:w="1207" w:type="dxa"/>
          </w:tcPr>
          <w:p w:rsidR="00196C43" w:rsidRDefault="0060154A" w:rsidP="00196C43">
            <w:r>
              <w:t>1.32e6</w:t>
            </w:r>
            <w:r w:rsidR="00196C43">
              <w:t xml:space="preserve"> </w:t>
            </w:r>
          </w:p>
        </w:tc>
        <w:tc>
          <w:tcPr>
            <w:tcW w:w="1350" w:type="dxa"/>
          </w:tcPr>
          <w:p w:rsidR="00196C43" w:rsidRDefault="0060154A" w:rsidP="00196C43">
            <w:r>
              <w:t>151</w:t>
            </w:r>
          </w:p>
        </w:tc>
      </w:tr>
      <w:tr w:rsidR="00196C43" w:rsidTr="0060154A">
        <w:trPr>
          <w:jc w:val="center"/>
        </w:trPr>
        <w:tc>
          <w:tcPr>
            <w:tcW w:w="2115" w:type="dxa"/>
            <w:vAlign w:val="center"/>
          </w:tcPr>
          <w:p w:rsidR="00196C43" w:rsidRPr="004B30FB" w:rsidRDefault="00196C43" w:rsidP="0060154A">
            <w:r>
              <w:t>ISC QPD Amp</w:t>
            </w:r>
          </w:p>
        </w:tc>
        <w:tc>
          <w:tcPr>
            <w:tcW w:w="1703" w:type="dxa"/>
          </w:tcPr>
          <w:p w:rsidR="00196C43" w:rsidRDefault="0060154A" w:rsidP="0060154A">
            <w:r>
              <w:t>2.06</w:t>
            </w:r>
          </w:p>
        </w:tc>
        <w:tc>
          <w:tcPr>
            <w:tcW w:w="1207" w:type="dxa"/>
          </w:tcPr>
          <w:p w:rsidR="00196C43" w:rsidRDefault="0060154A" w:rsidP="00196C43">
            <w:r>
              <w:t>4.86e5</w:t>
            </w:r>
            <w:r w:rsidR="00196C43">
              <w:t xml:space="preserve"> </w:t>
            </w:r>
          </w:p>
        </w:tc>
        <w:tc>
          <w:tcPr>
            <w:tcW w:w="1350" w:type="dxa"/>
          </w:tcPr>
          <w:p w:rsidR="00196C43" w:rsidRDefault="0060154A" w:rsidP="00196C43">
            <w:r>
              <w:t>55.4</w:t>
            </w:r>
          </w:p>
        </w:tc>
      </w:tr>
      <w:tr w:rsidR="00196C43" w:rsidTr="0060154A">
        <w:trPr>
          <w:jc w:val="center"/>
        </w:trPr>
        <w:tc>
          <w:tcPr>
            <w:tcW w:w="2115" w:type="dxa"/>
            <w:vAlign w:val="center"/>
          </w:tcPr>
          <w:p w:rsidR="00196C43" w:rsidRPr="004B30FB" w:rsidRDefault="00196C43" w:rsidP="00196C43">
            <w:r>
              <w:t>AA Chassis</w:t>
            </w:r>
          </w:p>
        </w:tc>
        <w:tc>
          <w:tcPr>
            <w:tcW w:w="1703" w:type="dxa"/>
          </w:tcPr>
          <w:p w:rsidR="00196C43" w:rsidRDefault="0060154A" w:rsidP="0060154A">
            <w:r>
              <w:t>5.15</w:t>
            </w:r>
          </w:p>
        </w:tc>
        <w:tc>
          <w:tcPr>
            <w:tcW w:w="1207" w:type="dxa"/>
          </w:tcPr>
          <w:p w:rsidR="00196C43" w:rsidRDefault="0060154A" w:rsidP="00196C43">
            <w:r>
              <w:t>1.94e5</w:t>
            </w:r>
            <w:r w:rsidR="00196C43">
              <w:t xml:space="preserve"> </w:t>
            </w:r>
          </w:p>
        </w:tc>
        <w:tc>
          <w:tcPr>
            <w:tcW w:w="1350" w:type="dxa"/>
          </w:tcPr>
          <w:p w:rsidR="00196C43" w:rsidRDefault="0060154A" w:rsidP="00196C43">
            <w:r>
              <w:t>22.2</w:t>
            </w:r>
          </w:p>
        </w:tc>
      </w:tr>
      <w:tr w:rsidR="00196C43" w:rsidTr="0060154A">
        <w:trPr>
          <w:jc w:val="center"/>
        </w:trPr>
        <w:tc>
          <w:tcPr>
            <w:tcW w:w="2115" w:type="dxa"/>
            <w:vAlign w:val="center"/>
          </w:tcPr>
          <w:p w:rsidR="00196C43" w:rsidRPr="004B30FB" w:rsidRDefault="00196C43" w:rsidP="00196C43">
            <w:r>
              <w:t>ISC Whitening Filter</w:t>
            </w:r>
          </w:p>
        </w:tc>
        <w:tc>
          <w:tcPr>
            <w:tcW w:w="1703" w:type="dxa"/>
          </w:tcPr>
          <w:p w:rsidR="00196C43" w:rsidRDefault="0060154A" w:rsidP="0060154A">
            <w:r>
              <w:t>7.90</w:t>
            </w:r>
          </w:p>
        </w:tc>
        <w:tc>
          <w:tcPr>
            <w:tcW w:w="1207" w:type="dxa"/>
          </w:tcPr>
          <w:p w:rsidR="00196C43" w:rsidRDefault="0060154A" w:rsidP="00196C43">
            <w:r>
              <w:t>1.27e5</w:t>
            </w:r>
            <w:r w:rsidR="00196C43">
              <w:t xml:space="preserve"> </w:t>
            </w:r>
          </w:p>
        </w:tc>
        <w:tc>
          <w:tcPr>
            <w:tcW w:w="1350" w:type="dxa"/>
          </w:tcPr>
          <w:p w:rsidR="00196C43" w:rsidRDefault="0060154A" w:rsidP="00196C43">
            <w:r>
              <w:t>14.5</w:t>
            </w:r>
          </w:p>
        </w:tc>
      </w:tr>
    </w:tbl>
    <w:p w:rsidR="00196C43" w:rsidRDefault="00196C43" w:rsidP="00196C43">
      <w:pPr>
        <w:ind w:firstLine="720"/>
      </w:pPr>
    </w:p>
    <w:p w:rsidR="0060154A" w:rsidRPr="007230AE" w:rsidRDefault="0060154A" w:rsidP="00196C43">
      <w:pPr>
        <w:ind w:firstLine="720"/>
      </w:pPr>
      <w:r>
        <w:t xml:space="preserve">While it would be delightful if an in-vacuum RFPD would typically run for 151 years, there’s some room for skepticism.  These estimates will best serve in setting a basis for the sparing analysis, and feedback from actual field experience will be the only reliable mechanism for </w:t>
      </w:r>
      <w:r w:rsidR="007A09C9">
        <w:t>the long run.  These type</w:t>
      </w:r>
      <w:r w:rsidR="0040273D">
        <w:t>s</w:t>
      </w:r>
      <w:r w:rsidR="007A09C9">
        <w:t xml:space="preserve"> of analyses are misleading in the sense that infant mortality and accelerated end of life failure mechanisms are po</w:t>
      </w:r>
      <w:r w:rsidR="0040273D">
        <w:t>orly represented.  For example, the Social Security Actuarial Life Table lists the death probability of a 20 year old male to be approximately 1.1e-3 yielding an MTBF of about 900 years.  Obviously the underlying failure rate is not constant and the estimates are skewed at best.  Use these methods as a starting point and pay close attention to field failures.</w:t>
      </w:r>
    </w:p>
    <w:p w:rsidR="00196C43" w:rsidRPr="007230AE" w:rsidRDefault="00196C43" w:rsidP="00196C43">
      <w:pPr>
        <w:ind w:firstLine="720"/>
        <w:jc w:val="center"/>
      </w:pPr>
    </w:p>
    <w:sectPr w:rsidR="00196C43" w:rsidRPr="007230AE" w:rsidSect="00E1338E">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49" w:rsidRDefault="00100149" w:rsidP="0091157D">
      <w:r>
        <w:separator/>
      </w:r>
    </w:p>
  </w:endnote>
  <w:endnote w:type="continuationSeparator" w:id="0">
    <w:p w:rsidR="00100149" w:rsidRDefault="00100149" w:rsidP="0091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49" w:rsidRDefault="00100149" w:rsidP="0091157D">
      <w:r>
        <w:separator/>
      </w:r>
    </w:p>
  </w:footnote>
  <w:footnote w:type="continuationSeparator" w:id="0">
    <w:p w:rsidR="00100149" w:rsidRDefault="00100149" w:rsidP="00911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43" w:rsidRDefault="00196C43">
    <w:pPr>
      <w:pStyle w:val="Header"/>
      <w:jc w:val="right"/>
    </w:pPr>
    <w:r>
      <w:t>LIGO E1300670-v</w:t>
    </w:r>
    <w:r w:rsidR="009F2048">
      <w:t>2</w:t>
    </w:r>
    <w:r>
      <w:t xml:space="preserve">, Page </w:t>
    </w:r>
    <w:r>
      <w:fldChar w:fldCharType="begin"/>
    </w:r>
    <w:r>
      <w:instrText xml:space="preserve"> PAGE   \* MERGEFORMAT </w:instrText>
    </w:r>
    <w:r>
      <w:fldChar w:fldCharType="separate"/>
    </w:r>
    <w:r w:rsidR="009F2048">
      <w:rPr>
        <w:noProof/>
      </w:rPr>
      <w:t>1</w:t>
    </w:r>
    <w:r>
      <w:rPr>
        <w:noProof/>
      </w:rPr>
      <w:fldChar w:fldCharType="end"/>
    </w:r>
  </w:p>
  <w:p w:rsidR="00196C43" w:rsidRDefault="00196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FA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40A20EE"/>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D5849"/>
    <w:multiLevelType w:val="hybridMultilevel"/>
    <w:tmpl w:val="6696EB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C0375CF"/>
    <w:multiLevelType w:val="hybridMultilevel"/>
    <w:tmpl w:val="CC0C8F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4308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F24071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C842B84"/>
    <w:multiLevelType w:val="hybridMultilevel"/>
    <w:tmpl w:val="53A8C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4620CD"/>
    <w:multiLevelType w:val="hybridMultilevel"/>
    <w:tmpl w:val="2F449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152A2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9085371"/>
    <w:multiLevelType w:val="hybridMultilevel"/>
    <w:tmpl w:val="CD7A40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D83BA9"/>
    <w:multiLevelType w:val="hybridMultilevel"/>
    <w:tmpl w:val="117410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2A349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EF64E2C"/>
    <w:multiLevelType w:val="hybridMultilevel"/>
    <w:tmpl w:val="62389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4477AF"/>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8">
    <w:nsid w:val="32313FE9"/>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B4167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8097272"/>
    <w:multiLevelType w:val="hybridMultilevel"/>
    <w:tmpl w:val="BE3A5B40"/>
    <w:lvl w:ilvl="0" w:tplc="7980A6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DF1145"/>
    <w:multiLevelType w:val="hybridMultilevel"/>
    <w:tmpl w:val="9064C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5C06FC"/>
    <w:multiLevelType w:val="hybridMultilevel"/>
    <w:tmpl w:val="482421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D42555A"/>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5">
    <w:nsid w:val="42434F21"/>
    <w:multiLevelType w:val="hybridMultilevel"/>
    <w:tmpl w:val="E2602304"/>
    <w:lvl w:ilvl="0" w:tplc="7980A6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C86CBC"/>
    <w:multiLevelType w:val="hybridMultilevel"/>
    <w:tmpl w:val="78501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48D6A2E"/>
    <w:multiLevelType w:val="hybridMultilevel"/>
    <w:tmpl w:val="638C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4B4EC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1">
    <w:nsid w:val="5C8808C6"/>
    <w:multiLevelType w:val="hybridMultilevel"/>
    <w:tmpl w:val="A74C95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8B03F1"/>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9E69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AFE5C99"/>
    <w:multiLevelType w:val="hybridMultilevel"/>
    <w:tmpl w:val="3D704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9B4E2D"/>
    <w:multiLevelType w:val="hybridMultilevel"/>
    <w:tmpl w:val="98103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4334C8"/>
    <w:multiLevelType w:val="hybridMultilevel"/>
    <w:tmpl w:val="4142D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4F41A2"/>
    <w:multiLevelType w:val="hybridMultilevel"/>
    <w:tmpl w:val="387402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5"/>
  </w:num>
  <w:num w:numId="4">
    <w:abstractNumId w:val="30"/>
  </w:num>
  <w:num w:numId="5">
    <w:abstractNumId w:val="27"/>
  </w:num>
  <w:num w:numId="6">
    <w:abstractNumId w:val="24"/>
  </w:num>
  <w:num w:numId="7">
    <w:abstractNumId w:val="3"/>
  </w:num>
  <w:num w:numId="8">
    <w:abstractNumId w:val="35"/>
  </w:num>
  <w:num w:numId="9">
    <w:abstractNumId w:val="10"/>
  </w:num>
  <w:num w:numId="10">
    <w:abstractNumId w:val="4"/>
  </w:num>
  <w:num w:numId="11">
    <w:abstractNumId w:val="17"/>
  </w:num>
  <w:num w:numId="12">
    <w:abstractNumId w:val="19"/>
  </w:num>
  <w:num w:numId="13">
    <w:abstractNumId w:val="0"/>
  </w:num>
  <w:num w:numId="14">
    <w:abstractNumId w:val="33"/>
  </w:num>
  <w:num w:numId="15">
    <w:abstractNumId w:val="13"/>
  </w:num>
  <w:num w:numId="16">
    <w:abstractNumId w:val="23"/>
  </w:num>
  <w:num w:numId="17">
    <w:abstractNumId w:val="15"/>
  </w:num>
  <w:num w:numId="18">
    <w:abstractNumId w:val="1"/>
  </w:num>
  <w:num w:numId="19">
    <w:abstractNumId w:val="1"/>
    <w:lvlOverride w:ilvl="0">
      <w:startOverride w:val="2"/>
    </w:lvlOverride>
  </w:num>
  <w:num w:numId="20">
    <w:abstractNumId w:val="1"/>
    <w:lvlOverride w:ilvl="0">
      <w:startOverride w:val="3"/>
    </w:lvlOverride>
  </w:num>
  <w:num w:numId="21">
    <w:abstractNumId w:val="1"/>
    <w:lvlOverride w:ilvl="0">
      <w:startOverride w:val="4"/>
    </w:lvlOverride>
  </w:num>
  <w:num w:numId="22">
    <w:abstractNumId w:val="1"/>
    <w:lvlOverride w:ilvl="0">
      <w:startOverride w:val="5"/>
    </w:lvlOverride>
  </w:num>
  <w:num w:numId="23">
    <w:abstractNumId w:val="1"/>
    <w:lvlOverride w:ilvl="0">
      <w:startOverride w:val="6"/>
    </w:lvlOverride>
  </w:num>
  <w:num w:numId="24">
    <w:abstractNumId w:val="18"/>
  </w:num>
  <w:num w:numId="25">
    <w:abstractNumId w:val="32"/>
  </w:num>
  <w:num w:numId="26">
    <w:abstractNumId w:val="7"/>
  </w:num>
  <w:num w:numId="27">
    <w:abstractNumId w:val="36"/>
  </w:num>
  <w:num w:numId="28">
    <w:abstractNumId w:val="21"/>
  </w:num>
  <w:num w:numId="29">
    <w:abstractNumId w:val="29"/>
  </w:num>
  <w:num w:numId="30">
    <w:abstractNumId w:val="12"/>
  </w:num>
  <w:num w:numId="31">
    <w:abstractNumId w:val="28"/>
  </w:num>
  <w:num w:numId="32">
    <w:abstractNumId w:val="25"/>
  </w:num>
  <w:num w:numId="33">
    <w:abstractNumId w:val="38"/>
  </w:num>
  <w:num w:numId="34">
    <w:abstractNumId w:val="34"/>
  </w:num>
  <w:num w:numId="35">
    <w:abstractNumId w:val="16"/>
  </w:num>
  <w:num w:numId="36">
    <w:abstractNumId w:val="11"/>
  </w:num>
  <w:num w:numId="37">
    <w:abstractNumId w:val="6"/>
  </w:num>
  <w:num w:numId="38">
    <w:abstractNumId w:val="14"/>
  </w:num>
  <w:num w:numId="39">
    <w:abstractNumId w:val="37"/>
  </w:num>
  <w:num w:numId="40">
    <w:abstractNumId w:val="20"/>
  </w:num>
  <w:num w:numId="41">
    <w:abstractNumId w:val="31"/>
  </w:num>
  <w:num w:numId="42">
    <w:abstractNumId w:val="26"/>
  </w:num>
  <w:num w:numId="43">
    <w:abstractNumId w:val="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CC"/>
    <w:rsid w:val="00026FCC"/>
    <w:rsid w:val="00031E40"/>
    <w:rsid w:val="000424C4"/>
    <w:rsid w:val="00043FA5"/>
    <w:rsid w:val="000479C2"/>
    <w:rsid w:val="00051934"/>
    <w:rsid w:val="00053FEF"/>
    <w:rsid w:val="00063B2E"/>
    <w:rsid w:val="00072B87"/>
    <w:rsid w:val="00073323"/>
    <w:rsid w:val="0007725F"/>
    <w:rsid w:val="00085A1F"/>
    <w:rsid w:val="0008646A"/>
    <w:rsid w:val="0009655C"/>
    <w:rsid w:val="00097150"/>
    <w:rsid w:val="000A0347"/>
    <w:rsid w:val="000A251E"/>
    <w:rsid w:val="000A4751"/>
    <w:rsid w:val="000A5A70"/>
    <w:rsid w:val="000B01F3"/>
    <w:rsid w:val="000C131B"/>
    <w:rsid w:val="000C643F"/>
    <w:rsid w:val="000D02D4"/>
    <w:rsid w:val="000D3936"/>
    <w:rsid w:val="000E1538"/>
    <w:rsid w:val="000E241D"/>
    <w:rsid w:val="000F7C6C"/>
    <w:rsid w:val="00100149"/>
    <w:rsid w:val="00105906"/>
    <w:rsid w:val="00115E88"/>
    <w:rsid w:val="001169C0"/>
    <w:rsid w:val="001274E7"/>
    <w:rsid w:val="00131204"/>
    <w:rsid w:val="00136B7B"/>
    <w:rsid w:val="001416FE"/>
    <w:rsid w:val="0015188C"/>
    <w:rsid w:val="0016121B"/>
    <w:rsid w:val="00172058"/>
    <w:rsid w:val="00176F5B"/>
    <w:rsid w:val="001822C4"/>
    <w:rsid w:val="00196C43"/>
    <w:rsid w:val="001B36EF"/>
    <w:rsid w:val="001B50E8"/>
    <w:rsid w:val="001B5EC4"/>
    <w:rsid w:val="001C0A89"/>
    <w:rsid w:val="001E12BB"/>
    <w:rsid w:val="002027F7"/>
    <w:rsid w:val="00203353"/>
    <w:rsid w:val="00204BF7"/>
    <w:rsid w:val="00213577"/>
    <w:rsid w:val="00215ADD"/>
    <w:rsid w:val="00233380"/>
    <w:rsid w:val="00240DDB"/>
    <w:rsid w:val="002428A4"/>
    <w:rsid w:val="00247A2F"/>
    <w:rsid w:val="00251F19"/>
    <w:rsid w:val="00252497"/>
    <w:rsid w:val="002770ED"/>
    <w:rsid w:val="00282562"/>
    <w:rsid w:val="002862D7"/>
    <w:rsid w:val="00286747"/>
    <w:rsid w:val="00291512"/>
    <w:rsid w:val="002B5F92"/>
    <w:rsid w:val="002D5DBA"/>
    <w:rsid w:val="002E3291"/>
    <w:rsid w:val="002E5B25"/>
    <w:rsid w:val="002F2983"/>
    <w:rsid w:val="002F3F10"/>
    <w:rsid w:val="002F7BF9"/>
    <w:rsid w:val="00303C28"/>
    <w:rsid w:val="0032052B"/>
    <w:rsid w:val="00322850"/>
    <w:rsid w:val="00331568"/>
    <w:rsid w:val="00343984"/>
    <w:rsid w:val="00345DFC"/>
    <w:rsid w:val="003465E0"/>
    <w:rsid w:val="0034755A"/>
    <w:rsid w:val="003549BD"/>
    <w:rsid w:val="00355C94"/>
    <w:rsid w:val="003642CC"/>
    <w:rsid w:val="00380437"/>
    <w:rsid w:val="003832B0"/>
    <w:rsid w:val="003900D7"/>
    <w:rsid w:val="00393BE7"/>
    <w:rsid w:val="00397A1D"/>
    <w:rsid w:val="003A2768"/>
    <w:rsid w:val="003A47B0"/>
    <w:rsid w:val="003B084E"/>
    <w:rsid w:val="003B4F18"/>
    <w:rsid w:val="003B65CC"/>
    <w:rsid w:val="003B7542"/>
    <w:rsid w:val="003C04D1"/>
    <w:rsid w:val="003C5B20"/>
    <w:rsid w:val="003D220C"/>
    <w:rsid w:val="003D2ED2"/>
    <w:rsid w:val="003D4D36"/>
    <w:rsid w:val="003D7405"/>
    <w:rsid w:val="003E2BF8"/>
    <w:rsid w:val="0040273D"/>
    <w:rsid w:val="00403F95"/>
    <w:rsid w:val="00412873"/>
    <w:rsid w:val="00414136"/>
    <w:rsid w:val="00414828"/>
    <w:rsid w:val="004165B0"/>
    <w:rsid w:val="00423522"/>
    <w:rsid w:val="00424216"/>
    <w:rsid w:val="00435E76"/>
    <w:rsid w:val="00466804"/>
    <w:rsid w:val="004954AD"/>
    <w:rsid w:val="0049787D"/>
    <w:rsid w:val="00497ED8"/>
    <w:rsid w:val="004A06A7"/>
    <w:rsid w:val="004B2E4D"/>
    <w:rsid w:val="004B30FB"/>
    <w:rsid w:val="004B77D7"/>
    <w:rsid w:val="004C2833"/>
    <w:rsid w:val="004C37C6"/>
    <w:rsid w:val="004C3A7E"/>
    <w:rsid w:val="004C5114"/>
    <w:rsid w:val="004C634D"/>
    <w:rsid w:val="004D13E3"/>
    <w:rsid w:val="004E22F1"/>
    <w:rsid w:val="004E5D80"/>
    <w:rsid w:val="004F023B"/>
    <w:rsid w:val="004F3439"/>
    <w:rsid w:val="004F563A"/>
    <w:rsid w:val="0050576E"/>
    <w:rsid w:val="0050778C"/>
    <w:rsid w:val="00511540"/>
    <w:rsid w:val="00513E15"/>
    <w:rsid w:val="005162F6"/>
    <w:rsid w:val="00516572"/>
    <w:rsid w:val="005204F2"/>
    <w:rsid w:val="00521700"/>
    <w:rsid w:val="005458B2"/>
    <w:rsid w:val="005461F8"/>
    <w:rsid w:val="00564794"/>
    <w:rsid w:val="00567416"/>
    <w:rsid w:val="005677C2"/>
    <w:rsid w:val="0057093F"/>
    <w:rsid w:val="005754B2"/>
    <w:rsid w:val="005819A8"/>
    <w:rsid w:val="0058363A"/>
    <w:rsid w:val="00586911"/>
    <w:rsid w:val="00592EE5"/>
    <w:rsid w:val="00593208"/>
    <w:rsid w:val="00596F57"/>
    <w:rsid w:val="005A10AF"/>
    <w:rsid w:val="005B02E2"/>
    <w:rsid w:val="005B459A"/>
    <w:rsid w:val="005C1682"/>
    <w:rsid w:val="005C3B44"/>
    <w:rsid w:val="005C7A1B"/>
    <w:rsid w:val="005D55C8"/>
    <w:rsid w:val="005E0130"/>
    <w:rsid w:val="005E398A"/>
    <w:rsid w:val="005F0175"/>
    <w:rsid w:val="005F3284"/>
    <w:rsid w:val="005F5B3B"/>
    <w:rsid w:val="00600618"/>
    <w:rsid w:val="00600965"/>
    <w:rsid w:val="0060154A"/>
    <w:rsid w:val="00602D85"/>
    <w:rsid w:val="00613DAC"/>
    <w:rsid w:val="006158CC"/>
    <w:rsid w:val="006231A0"/>
    <w:rsid w:val="0063184E"/>
    <w:rsid w:val="006325AA"/>
    <w:rsid w:val="00633443"/>
    <w:rsid w:val="00636AFD"/>
    <w:rsid w:val="00642F8C"/>
    <w:rsid w:val="0064379A"/>
    <w:rsid w:val="00647CF8"/>
    <w:rsid w:val="006579EC"/>
    <w:rsid w:val="00657EA8"/>
    <w:rsid w:val="00677364"/>
    <w:rsid w:val="00681C5A"/>
    <w:rsid w:val="00681DA0"/>
    <w:rsid w:val="00686384"/>
    <w:rsid w:val="00687D14"/>
    <w:rsid w:val="00691995"/>
    <w:rsid w:val="00693267"/>
    <w:rsid w:val="006938B5"/>
    <w:rsid w:val="00694B8C"/>
    <w:rsid w:val="00696C06"/>
    <w:rsid w:val="006A3AB2"/>
    <w:rsid w:val="006A62A9"/>
    <w:rsid w:val="006B1608"/>
    <w:rsid w:val="006E4F3E"/>
    <w:rsid w:val="006F4C73"/>
    <w:rsid w:val="0070089F"/>
    <w:rsid w:val="007104F2"/>
    <w:rsid w:val="00712250"/>
    <w:rsid w:val="0071271F"/>
    <w:rsid w:val="007230AE"/>
    <w:rsid w:val="007307C8"/>
    <w:rsid w:val="00733D66"/>
    <w:rsid w:val="007623A8"/>
    <w:rsid w:val="00763CFB"/>
    <w:rsid w:val="0076754F"/>
    <w:rsid w:val="007751FB"/>
    <w:rsid w:val="007833AB"/>
    <w:rsid w:val="00784AB0"/>
    <w:rsid w:val="00784D92"/>
    <w:rsid w:val="00784F75"/>
    <w:rsid w:val="0078750E"/>
    <w:rsid w:val="00796196"/>
    <w:rsid w:val="00796962"/>
    <w:rsid w:val="007A09C9"/>
    <w:rsid w:val="007A3B91"/>
    <w:rsid w:val="007A5A58"/>
    <w:rsid w:val="007A74CD"/>
    <w:rsid w:val="007F0924"/>
    <w:rsid w:val="00801386"/>
    <w:rsid w:val="00801ACA"/>
    <w:rsid w:val="008115AE"/>
    <w:rsid w:val="008220E8"/>
    <w:rsid w:val="00824910"/>
    <w:rsid w:val="00826EC6"/>
    <w:rsid w:val="008303E0"/>
    <w:rsid w:val="008346B8"/>
    <w:rsid w:val="00837E45"/>
    <w:rsid w:val="0084320F"/>
    <w:rsid w:val="00847D3C"/>
    <w:rsid w:val="00864A78"/>
    <w:rsid w:val="00871260"/>
    <w:rsid w:val="0087553D"/>
    <w:rsid w:val="0088066B"/>
    <w:rsid w:val="008830D5"/>
    <w:rsid w:val="00885F66"/>
    <w:rsid w:val="0089216E"/>
    <w:rsid w:val="008950A0"/>
    <w:rsid w:val="00895DD7"/>
    <w:rsid w:val="008A0474"/>
    <w:rsid w:val="008A3AC6"/>
    <w:rsid w:val="008A3CDA"/>
    <w:rsid w:val="008B4B1C"/>
    <w:rsid w:val="008B611C"/>
    <w:rsid w:val="008C565B"/>
    <w:rsid w:val="008D1BF5"/>
    <w:rsid w:val="008D329D"/>
    <w:rsid w:val="008D5979"/>
    <w:rsid w:val="0091157D"/>
    <w:rsid w:val="00921184"/>
    <w:rsid w:val="00922E97"/>
    <w:rsid w:val="00933FDA"/>
    <w:rsid w:val="00937036"/>
    <w:rsid w:val="0095209B"/>
    <w:rsid w:val="00952885"/>
    <w:rsid w:val="009550D7"/>
    <w:rsid w:val="009575E0"/>
    <w:rsid w:val="009606CD"/>
    <w:rsid w:val="00967583"/>
    <w:rsid w:val="00983C09"/>
    <w:rsid w:val="009A13DE"/>
    <w:rsid w:val="009A2CEC"/>
    <w:rsid w:val="009B2AF9"/>
    <w:rsid w:val="009B327B"/>
    <w:rsid w:val="009B4794"/>
    <w:rsid w:val="009B4802"/>
    <w:rsid w:val="009C15A6"/>
    <w:rsid w:val="009C2FF8"/>
    <w:rsid w:val="009C75FC"/>
    <w:rsid w:val="009D6E35"/>
    <w:rsid w:val="009E4763"/>
    <w:rsid w:val="009F187B"/>
    <w:rsid w:val="009F2048"/>
    <w:rsid w:val="009F3095"/>
    <w:rsid w:val="009F6439"/>
    <w:rsid w:val="009F6D94"/>
    <w:rsid w:val="00A0754C"/>
    <w:rsid w:val="00A11D1E"/>
    <w:rsid w:val="00A11F79"/>
    <w:rsid w:val="00A20A2C"/>
    <w:rsid w:val="00A21D92"/>
    <w:rsid w:val="00A26E5B"/>
    <w:rsid w:val="00A5281F"/>
    <w:rsid w:val="00A5498F"/>
    <w:rsid w:val="00A63C5C"/>
    <w:rsid w:val="00A76657"/>
    <w:rsid w:val="00A81B62"/>
    <w:rsid w:val="00A84AA7"/>
    <w:rsid w:val="00A85EA4"/>
    <w:rsid w:val="00A91AB6"/>
    <w:rsid w:val="00A97A3D"/>
    <w:rsid w:val="00AB0965"/>
    <w:rsid w:val="00AD785B"/>
    <w:rsid w:val="00B0096C"/>
    <w:rsid w:val="00B053B8"/>
    <w:rsid w:val="00B34860"/>
    <w:rsid w:val="00B515E9"/>
    <w:rsid w:val="00B63E52"/>
    <w:rsid w:val="00B7065F"/>
    <w:rsid w:val="00B73FAE"/>
    <w:rsid w:val="00B76A40"/>
    <w:rsid w:val="00B81019"/>
    <w:rsid w:val="00B81F08"/>
    <w:rsid w:val="00B81F3E"/>
    <w:rsid w:val="00BA4B0F"/>
    <w:rsid w:val="00BB18C2"/>
    <w:rsid w:val="00BB3BF2"/>
    <w:rsid w:val="00BC6719"/>
    <w:rsid w:val="00BC6FEB"/>
    <w:rsid w:val="00BE7120"/>
    <w:rsid w:val="00BF1301"/>
    <w:rsid w:val="00BF5D94"/>
    <w:rsid w:val="00BF7105"/>
    <w:rsid w:val="00C225CB"/>
    <w:rsid w:val="00C226DB"/>
    <w:rsid w:val="00C2382B"/>
    <w:rsid w:val="00C26BDB"/>
    <w:rsid w:val="00C2714E"/>
    <w:rsid w:val="00C30D2E"/>
    <w:rsid w:val="00C35F2A"/>
    <w:rsid w:val="00C41F83"/>
    <w:rsid w:val="00C42EA0"/>
    <w:rsid w:val="00C51368"/>
    <w:rsid w:val="00C63FE3"/>
    <w:rsid w:val="00C6458B"/>
    <w:rsid w:val="00C90C26"/>
    <w:rsid w:val="00C92163"/>
    <w:rsid w:val="00CA2A02"/>
    <w:rsid w:val="00CC1C66"/>
    <w:rsid w:val="00CC21B5"/>
    <w:rsid w:val="00CC2EE0"/>
    <w:rsid w:val="00CC79F7"/>
    <w:rsid w:val="00CD116B"/>
    <w:rsid w:val="00CD7A59"/>
    <w:rsid w:val="00CE0FE7"/>
    <w:rsid w:val="00CE639D"/>
    <w:rsid w:val="00CF3C1A"/>
    <w:rsid w:val="00CF3E8F"/>
    <w:rsid w:val="00D04E30"/>
    <w:rsid w:val="00D06397"/>
    <w:rsid w:val="00D24E37"/>
    <w:rsid w:val="00D25F67"/>
    <w:rsid w:val="00D30D9D"/>
    <w:rsid w:val="00D34641"/>
    <w:rsid w:val="00D421C0"/>
    <w:rsid w:val="00D4657B"/>
    <w:rsid w:val="00D50B86"/>
    <w:rsid w:val="00D56D64"/>
    <w:rsid w:val="00D57516"/>
    <w:rsid w:val="00D60C79"/>
    <w:rsid w:val="00D63B9F"/>
    <w:rsid w:val="00D758BF"/>
    <w:rsid w:val="00D86DCD"/>
    <w:rsid w:val="00DA217E"/>
    <w:rsid w:val="00DA2DE2"/>
    <w:rsid w:val="00DA4E3A"/>
    <w:rsid w:val="00DB4F8A"/>
    <w:rsid w:val="00DD00A2"/>
    <w:rsid w:val="00DD49A0"/>
    <w:rsid w:val="00DE1D61"/>
    <w:rsid w:val="00DE44E1"/>
    <w:rsid w:val="00DE4A2A"/>
    <w:rsid w:val="00DF003C"/>
    <w:rsid w:val="00E1338E"/>
    <w:rsid w:val="00E22C7E"/>
    <w:rsid w:val="00E2635B"/>
    <w:rsid w:val="00E26588"/>
    <w:rsid w:val="00E32741"/>
    <w:rsid w:val="00E34B0D"/>
    <w:rsid w:val="00E41928"/>
    <w:rsid w:val="00E66E0C"/>
    <w:rsid w:val="00E71A23"/>
    <w:rsid w:val="00E72B18"/>
    <w:rsid w:val="00E756F8"/>
    <w:rsid w:val="00E76280"/>
    <w:rsid w:val="00E8014D"/>
    <w:rsid w:val="00E813FB"/>
    <w:rsid w:val="00E85E30"/>
    <w:rsid w:val="00E96502"/>
    <w:rsid w:val="00E96F3F"/>
    <w:rsid w:val="00E97753"/>
    <w:rsid w:val="00EA7224"/>
    <w:rsid w:val="00EB0860"/>
    <w:rsid w:val="00EB2C9B"/>
    <w:rsid w:val="00EB625E"/>
    <w:rsid w:val="00EC21BE"/>
    <w:rsid w:val="00EC4675"/>
    <w:rsid w:val="00EC5240"/>
    <w:rsid w:val="00ED6AD6"/>
    <w:rsid w:val="00ED6C27"/>
    <w:rsid w:val="00EE3641"/>
    <w:rsid w:val="00EE736C"/>
    <w:rsid w:val="00F017AD"/>
    <w:rsid w:val="00F10A96"/>
    <w:rsid w:val="00F30A81"/>
    <w:rsid w:val="00F351EB"/>
    <w:rsid w:val="00F35552"/>
    <w:rsid w:val="00F440D2"/>
    <w:rsid w:val="00F517D0"/>
    <w:rsid w:val="00F66570"/>
    <w:rsid w:val="00F66763"/>
    <w:rsid w:val="00F7466E"/>
    <w:rsid w:val="00F8341C"/>
    <w:rsid w:val="00F86D9B"/>
    <w:rsid w:val="00F929A1"/>
    <w:rsid w:val="00FB5A3A"/>
    <w:rsid w:val="00FB5AC5"/>
    <w:rsid w:val="00FC7027"/>
    <w:rsid w:val="00FC7DEC"/>
    <w:rsid w:val="00FD553B"/>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3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5EA4"/>
    <w:rPr>
      <w:b/>
      <w:bCs/>
      <w:sz w:val="20"/>
      <w:szCs w:val="20"/>
    </w:rPr>
  </w:style>
  <w:style w:type="table" w:styleId="TableGrid">
    <w:name w:val="Table Grid"/>
    <w:basedOn w:val="TableNormal"/>
    <w:rsid w:val="00E32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950A0"/>
    <w:rPr>
      <w:rFonts w:ascii="Times New Roman" w:hAnsi="Times New Roman"/>
      <w:color w:val="800080"/>
      <w:sz w:val="20"/>
      <w:u w:val="single"/>
    </w:rPr>
  </w:style>
  <w:style w:type="character" w:customStyle="1" w:styleId="Style10ptBoldCentered">
    <w:name w:val="Style 10 pt Bold Centered"/>
    <w:basedOn w:val="DefaultParagraphFont"/>
    <w:rsid w:val="008950A0"/>
    <w:rPr>
      <w:b/>
      <w:bCs/>
      <w:sz w:val="20"/>
      <w:szCs w:val="20"/>
    </w:rPr>
  </w:style>
  <w:style w:type="paragraph" w:styleId="NormalWeb">
    <w:name w:val="Normal (Web)"/>
    <w:basedOn w:val="Normal"/>
    <w:uiPriority w:val="99"/>
    <w:unhideWhenUsed/>
    <w:rsid w:val="00E76280"/>
    <w:pPr>
      <w:spacing w:before="100" w:beforeAutospacing="1" w:after="100" w:afterAutospacing="1"/>
    </w:pPr>
  </w:style>
  <w:style w:type="paragraph" w:styleId="BodyTextIndent">
    <w:name w:val="Body Text Indent"/>
    <w:basedOn w:val="Normal"/>
    <w:link w:val="BodyTextIndentChar"/>
    <w:rsid w:val="003D4D36"/>
    <w:pPr>
      <w:ind w:left="720"/>
    </w:pPr>
    <w:rPr>
      <w:szCs w:val="20"/>
    </w:rPr>
  </w:style>
  <w:style w:type="character" w:customStyle="1" w:styleId="BodyTextIndentChar">
    <w:name w:val="Body Text Indent Char"/>
    <w:basedOn w:val="DefaultParagraphFont"/>
    <w:link w:val="BodyTextIndent"/>
    <w:rsid w:val="003D4D36"/>
    <w:rPr>
      <w:sz w:val="24"/>
    </w:rPr>
  </w:style>
  <w:style w:type="paragraph" w:styleId="Header">
    <w:name w:val="header"/>
    <w:basedOn w:val="Normal"/>
    <w:link w:val="HeaderChar"/>
    <w:uiPriority w:val="99"/>
    <w:rsid w:val="0091157D"/>
    <w:pPr>
      <w:tabs>
        <w:tab w:val="center" w:pos="4680"/>
        <w:tab w:val="right" w:pos="9360"/>
      </w:tabs>
    </w:pPr>
  </w:style>
  <w:style w:type="character" w:customStyle="1" w:styleId="HeaderChar">
    <w:name w:val="Header Char"/>
    <w:basedOn w:val="DefaultParagraphFont"/>
    <w:link w:val="Header"/>
    <w:uiPriority w:val="99"/>
    <w:rsid w:val="0091157D"/>
    <w:rPr>
      <w:sz w:val="24"/>
      <w:szCs w:val="24"/>
    </w:rPr>
  </w:style>
  <w:style w:type="paragraph" w:styleId="Footer">
    <w:name w:val="footer"/>
    <w:basedOn w:val="Normal"/>
    <w:link w:val="FooterChar"/>
    <w:rsid w:val="0091157D"/>
    <w:pPr>
      <w:tabs>
        <w:tab w:val="center" w:pos="4680"/>
        <w:tab w:val="right" w:pos="9360"/>
      </w:tabs>
    </w:pPr>
  </w:style>
  <w:style w:type="character" w:customStyle="1" w:styleId="FooterChar">
    <w:name w:val="Footer Char"/>
    <w:basedOn w:val="DefaultParagraphFont"/>
    <w:link w:val="Footer"/>
    <w:rsid w:val="0091157D"/>
    <w:rPr>
      <w:sz w:val="24"/>
      <w:szCs w:val="24"/>
    </w:rPr>
  </w:style>
  <w:style w:type="paragraph" w:styleId="ListParagraph">
    <w:name w:val="List Paragraph"/>
    <w:basedOn w:val="Normal"/>
    <w:uiPriority w:val="34"/>
    <w:qFormat/>
    <w:rsid w:val="00B053B8"/>
    <w:pPr>
      <w:ind w:left="720"/>
      <w:contextualSpacing/>
    </w:pPr>
  </w:style>
  <w:style w:type="table" w:styleId="TableColorful2">
    <w:name w:val="Table Colorful 2"/>
    <w:basedOn w:val="TableNormal"/>
    <w:rsid w:val="0069326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alloonText">
    <w:name w:val="Balloon Text"/>
    <w:basedOn w:val="Normal"/>
    <w:link w:val="BalloonTextChar"/>
    <w:rsid w:val="00172058"/>
    <w:rPr>
      <w:rFonts w:ascii="Tahoma" w:hAnsi="Tahoma" w:cs="Tahoma"/>
      <w:sz w:val="16"/>
      <w:szCs w:val="16"/>
    </w:rPr>
  </w:style>
  <w:style w:type="character" w:customStyle="1" w:styleId="BalloonTextChar">
    <w:name w:val="Balloon Text Char"/>
    <w:basedOn w:val="DefaultParagraphFont"/>
    <w:link w:val="BalloonText"/>
    <w:rsid w:val="00172058"/>
    <w:rPr>
      <w:rFonts w:ascii="Tahoma" w:hAnsi="Tahoma" w:cs="Tahoma"/>
      <w:sz w:val="16"/>
      <w:szCs w:val="16"/>
    </w:rPr>
  </w:style>
  <w:style w:type="paragraph" w:customStyle="1" w:styleId="DecimalAligned">
    <w:name w:val="Decimal Aligned"/>
    <w:basedOn w:val="Normal"/>
    <w:uiPriority w:val="40"/>
    <w:qFormat/>
    <w:rsid w:val="004B30FB"/>
    <w:pPr>
      <w:tabs>
        <w:tab w:val="decimal" w:pos="360"/>
      </w:tabs>
      <w:spacing w:after="200" w:line="276" w:lineRule="auto"/>
    </w:pPr>
    <w:rPr>
      <w:rFonts w:asciiTheme="minorHAnsi" w:eastAsiaTheme="minorHAnsi" w:hAnsiTheme="minorHAnsi" w:cstheme="minorBidi"/>
      <w:sz w:val="22"/>
      <w:szCs w:val="22"/>
      <w:lang w:eastAsia="ja-JP"/>
    </w:rPr>
  </w:style>
  <w:style w:type="paragraph" w:styleId="FootnoteText">
    <w:name w:val="footnote text"/>
    <w:basedOn w:val="Normal"/>
    <w:link w:val="FootnoteTextChar"/>
    <w:uiPriority w:val="99"/>
    <w:unhideWhenUsed/>
    <w:rsid w:val="004B30FB"/>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4B30FB"/>
    <w:rPr>
      <w:rFonts w:asciiTheme="minorHAnsi" w:eastAsiaTheme="minorEastAsia" w:hAnsiTheme="minorHAnsi" w:cstheme="minorBidi"/>
      <w:lang w:eastAsia="ja-JP"/>
    </w:rPr>
  </w:style>
  <w:style w:type="character" w:styleId="SubtleEmphasis">
    <w:name w:val="Subtle Emphasis"/>
    <w:basedOn w:val="DefaultParagraphFont"/>
    <w:uiPriority w:val="19"/>
    <w:qFormat/>
    <w:rsid w:val="004B30FB"/>
    <w:rPr>
      <w:i/>
      <w:iCs/>
      <w:color w:val="7F7F7F" w:themeColor="text1" w:themeTint="80"/>
    </w:rPr>
  </w:style>
  <w:style w:type="table" w:styleId="LightShading-Accent1">
    <w:name w:val="Light Shading Accent 1"/>
    <w:basedOn w:val="TableNormal"/>
    <w:uiPriority w:val="60"/>
    <w:rsid w:val="004B30FB"/>
    <w:rPr>
      <w:rFonts w:asciiTheme="minorHAnsi" w:eastAsiaTheme="minorEastAsia" w:hAnsiTheme="minorHAnsi" w:cstheme="minorBidi"/>
      <w:color w:val="365F91" w:themeColor="accent1" w:themeShade="BF"/>
      <w:sz w:val="22"/>
      <w:szCs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4C3A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3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5EA4"/>
    <w:rPr>
      <w:b/>
      <w:bCs/>
      <w:sz w:val="20"/>
      <w:szCs w:val="20"/>
    </w:rPr>
  </w:style>
  <w:style w:type="table" w:styleId="TableGrid">
    <w:name w:val="Table Grid"/>
    <w:basedOn w:val="TableNormal"/>
    <w:rsid w:val="00E32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950A0"/>
    <w:rPr>
      <w:rFonts w:ascii="Times New Roman" w:hAnsi="Times New Roman"/>
      <w:color w:val="800080"/>
      <w:sz w:val="20"/>
      <w:u w:val="single"/>
    </w:rPr>
  </w:style>
  <w:style w:type="character" w:customStyle="1" w:styleId="Style10ptBoldCentered">
    <w:name w:val="Style 10 pt Bold Centered"/>
    <w:basedOn w:val="DefaultParagraphFont"/>
    <w:rsid w:val="008950A0"/>
    <w:rPr>
      <w:b/>
      <w:bCs/>
      <w:sz w:val="20"/>
      <w:szCs w:val="20"/>
    </w:rPr>
  </w:style>
  <w:style w:type="paragraph" w:styleId="NormalWeb">
    <w:name w:val="Normal (Web)"/>
    <w:basedOn w:val="Normal"/>
    <w:uiPriority w:val="99"/>
    <w:unhideWhenUsed/>
    <w:rsid w:val="00E76280"/>
    <w:pPr>
      <w:spacing w:before="100" w:beforeAutospacing="1" w:after="100" w:afterAutospacing="1"/>
    </w:pPr>
  </w:style>
  <w:style w:type="paragraph" w:styleId="BodyTextIndent">
    <w:name w:val="Body Text Indent"/>
    <w:basedOn w:val="Normal"/>
    <w:link w:val="BodyTextIndentChar"/>
    <w:rsid w:val="003D4D36"/>
    <w:pPr>
      <w:ind w:left="720"/>
    </w:pPr>
    <w:rPr>
      <w:szCs w:val="20"/>
    </w:rPr>
  </w:style>
  <w:style w:type="character" w:customStyle="1" w:styleId="BodyTextIndentChar">
    <w:name w:val="Body Text Indent Char"/>
    <w:basedOn w:val="DefaultParagraphFont"/>
    <w:link w:val="BodyTextIndent"/>
    <w:rsid w:val="003D4D36"/>
    <w:rPr>
      <w:sz w:val="24"/>
    </w:rPr>
  </w:style>
  <w:style w:type="paragraph" w:styleId="Header">
    <w:name w:val="header"/>
    <w:basedOn w:val="Normal"/>
    <w:link w:val="HeaderChar"/>
    <w:uiPriority w:val="99"/>
    <w:rsid w:val="0091157D"/>
    <w:pPr>
      <w:tabs>
        <w:tab w:val="center" w:pos="4680"/>
        <w:tab w:val="right" w:pos="9360"/>
      </w:tabs>
    </w:pPr>
  </w:style>
  <w:style w:type="character" w:customStyle="1" w:styleId="HeaderChar">
    <w:name w:val="Header Char"/>
    <w:basedOn w:val="DefaultParagraphFont"/>
    <w:link w:val="Header"/>
    <w:uiPriority w:val="99"/>
    <w:rsid w:val="0091157D"/>
    <w:rPr>
      <w:sz w:val="24"/>
      <w:szCs w:val="24"/>
    </w:rPr>
  </w:style>
  <w:style w:type="paragraph" w:styleId="Footer">
    <w:name w:val="footer"/>
    <w:basedOn w:val="Normal"/>
    <w:link w:val="FooterChar"/>
    <w:rsid w:val="0091157D"/>
    <w:pPr>
      <w:tabs>
        <w:tab w:val="center" w:pos="4680"/>
        <w:tab w:val="right" w:pos="9360"/>
      </w:tabs>
    </w:pPr>
  </w:style>
  <w:style w:type="character" w:customStyle="1" w:styleId="FooterChar">
    <w:name w:val="Footer Char"/>
    <w:basedOn w:val="DefaultParagraphFont"/>
    <w:link w:val="Footer"/>
    <w:rsid w:val="0091157D"/>
    <w:rPr>
      <w:sz w:val="24"/>
      <w:szCs w:val="24"/>
    </w:rPr>
  </w:style>
  <w:style w:type="paragraph" w:styleId="ListParagraph">
    <w:name w:val="List Paragraph"/>
    <w:basedOn w:val="Normal"/>
    <w:uiPriority w:val="34"/>
    <w:qFormat/>
    <w:rsid w:val="00B053B8"/>
    <w:pPr>
      <w:ind w:left="720"/>
      <w:contextualSpacing/>
    </w:pPr>
  </w:style>
  <w:style w:type="table" w:styleId="TableColorful2">
    <w:name w:val="Table Colorful 2"/>
    <w:basedOn w:val="TableNormal"/>
    <w:rsid w:val="0069326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alloonText">
    <w:name w:val="Balloon Text"/>
    <w:basedOn w:val="Normal"/>
    <w:link w:val="BalloonTextChar"/>
    <w:rsid w:val="00172058"/>
    <w:rPr>
      <w:rFonts w:ascii="Tahoma" w:hAnsi="Tahoma" w:cs="Tahoma"/>
      <w:sz w:val="16"/>
      <w:szCs w:val="16"/>
    </w:rPr>
  </w:style>
  <w:style w:type="character" w:customStyle="1" w:styleId="BalloonTextChar">
    <w:name w:val="Balloon Text Char"/>
    <w:basedOn w:val="DefaultParagraphFont"/>
    <w:link w:val="BalloonText"/>
    <w:rsid w:val="00172058"/>
    <w:rPr>
      <w:rFonts w:ascii="Tahoma" w:hAnsi="Tahoma" w:cs="Tahoma"/>
      <w:sz w:val="16"/>
      <w:szCs w:val="16"/>
    </w:rPr>
  </w:style>
  <w:style w:type="paragraph" w:customStyle="1" w:styleId="DecimalAligned">
    <w:name w:val="Decimal Aligned"/>
    <w:basedOn w:val="Normal"/>
    <w:uiPriority w:val="40"/>
    <w:qFormat/>
    <w:rsid w:val="004B30FB"/>
    <w:pPr>
      <w:tabs>
        <w:tab w:val="decimal" w:pos="360"/>
      </w:tabs>
      <w:spacing w:after="200" w:line="276" w:lineRule="auto"/>
    </w:pPr>
    <w:rPr>
      <w:rFonts w:asciiTheme="minorHAnsi" w:eastAsiaTheme="minorHAnsi" w:hAnsiTheme="minorHAnsi" w:cstheme="minorBidi"/>
      <w:sz w:val="22"/>
      <w:szCs w:val="22"/>
      <w:lang w:eastAsia="ja-JP"/>
    </w:rPr>
  </w:style>
  <w:style w:type="paragraph" w:styleId="FootnoteText">
    <w:name w:val="footnote text"/>
    <w:basedOn w:val="Normal"/>
    <w:link w:val="FootnoteTextChar"/>
    <w:uiPriority w:val="99"/>
    <w:unhideWhenUsed/>
    <w:rsid w:val="004B30FB"/>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4B30FB"/>
    <w:rPr>
      <w:rFonts w:asciiTheme="minorHAnsi" w:eastAsiaTheme="minorEastAsia" w:hAnsiTheme="minorHAnsi" w:cstheme="minorBidi"/>
      <w:lang w:eastAsia="ja-JP"/>
    </w:rPr>
  </w:style>
  <w:style w:type="character" w:styleId="SubtleEmphasis">
    <w:name w:val="Subtle Emphasis"/>
    <w:basedOn w:val="DefaultParagraphFont"/>
    <w:uiPriority w:val="19"/>
    <w:qFormat/>
    <w:rsid w:val="004B30FB"/>
    <w:rPr>
      <w:i/>
      <w:iCs/>
      <w:color w:val="7F7F7F" w:themeColor="text1" w:themeTint="80"/>
    </w:rPr>
  </w:style>
  <w:style w:type="table" w:styleId="LightShading-Accent1">
    <w:name w:val="Light Shading Accent 1"/>
    <w:basedOn w:val="TableNormal"/>
    <w:uiPriority w:val="60"/>
    <w:rsid w:val="004B30FB"/>
    <w:rPr>
      <w:rFonts w:asciiTheme="minorHAnsi" w:eastAsiaTheme="minorEastAsia" w:hAnsiTheme="minorHAnsi" w:cstheme="minorBidi"/>
      <w:color w:val="365F91" w:themeColor="accent1" w:themeShade="BF"/>
      <w:sz w:val="22"/>
      <w:szCs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4C3A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540">
      <w:bodyDiv w:val="1"/>
      <w:marLeft w:val="0"/>
      <w:marRight w:val="0"/>
      <w:marTop w:val="0"/>
      <w:marBottom w:val="0"/>
      <w:divBdr>
        <w:top w:val="none" w:sz="0" w:space="0" w:color="auto"/>
        <w:left w:val="none" w:sz="0" w:space="0" w:color="auto"/>
        <w:bottom w:val="none" w:sz="0" w:space="0" w:color="auto"/>
        <w:right w:val="none" w:sz="0" w:space="0" w:color="auto"/>
      </w:divBdr>
    </w:div>
    <w:div w:id="119492818">
      <w:bodyDiv w:val="1"/>
      <w:marLeft w:val="0"/>
      <w:marRight w:val="0"/>
      <w:marTop w:val="0"/>
      <w:marBottom w:val="0"/>
      <w:divBdr>
        <w:top w:val="none" w:sz="0" w:space="0" w:color="auto"/>
        <w:left w:val="none" w:sz="0" w:space="0" w:color="auto"/>
        <w:bottom w:val="none" w:sz="0" w:space="0" w:color="auto"/>
        <w:right w:val="none" w:sz="0" w:space="0" w:color="auto"/>
      </w:divBdr>
    </w:div>
    <w:div w:id="232738445">
      <w:bodyDiv w:val="1"/>
      <w:marLeft w:val="0"/>
      <w:marRight w:val="0"/>
      <w:marTop w:val="0"/>
      <w:marBottom w:val="0"/>
      <w:divBdr>
        <w:top w:val="none" w:sz="0" w:space="0" w:color="auto"/>
        <w:left w:val="none" w:sz="0" w:space="0" w:color="auto"/>
        <w:bottom w:val="none" w:sz="0" w:space="0" w:color="auto"/>
        <w:right w:val="none" w:sz="0" w:space="0" w:color="auto"/>
      </w:divBdr>
    </w:div>
    <w:div w:id="872577857">
      <w:bodyDiv w:val="1"/>
      <w:marLeft w:val="0"/>
      <w:marRight w:val="0"/>
      <w:marTop w:val="0"/>
      <w:marBottom w:val="0"/>
      <w:divBdr>
        <w:top w:val="none" w:sz="0" w:space="0" w:color="auto"/>
        <w:left w:val="none" w:sz="0" w:space="0" w:color="auto"/>
        <w:bottom w:val="none" w:sz="0" w:space="0" w:color="auto"/>
        <w:right w:val="none" w:sz="0" w:space="0" w:color="auto"/>
      </w:divBdr>
    </w:div>
    <w:div w:id="1016689908">
      <w:bodyDiv w:val="1"/>
      <w:marLeft w:val="0"/>
      <w:marRight w:val="0"/>
      <w:marTop w:val="0"/>
      <w:marBottom w:val="0"/>
      <w:divBdr>
        <w:top w:val="none" w:sz="0" w:space="0" w:color="auto"/>
        <w:left w:val="none" w:sz="0" w:space="0" w:color="auto"/>
        <w:bottom w:val="none" w:sz="0" w:space="0" w:color="auto"/>
        <w:right w:val="none" w:sz="0" w:space="0" w:color="auto"/>
      </w:divBdr>
    </w:div>
    <w:div w:id="1226450152">
      <w:bodyDiv w:val="1"/>
      <w:marLeft w:val="0"/>
      <w:marRight w:val="0"/>
      <w:marTop w:val="0"/>
      <w:marBottom w:val="0"/>
      <w:divBdr>
        <w:top w:val="none" w:sz="0" w:space="0" w:color="auto"/>
        <w:left w:val="none" w:sz="0" w:space="0" w:color="auto"/>
        <w:bottom w:val="none" w:sz="0" w:space="0" w:color="auto"/>
        <w:right w:val="none" w:sz="0" w:space="0" w:color="auto"/>
      </w:divBdr>
    </w:div>
    <w:div w:id="1298684759">
      <w:bodyDiv w:val="1"/>
      <w:marLeft w:val="0"/>
      <w:marRight w:val="0"/>
      <w:marTop w:val="0"/>
      <w:marBottom w:val="0"/>
      <w:divBdr>
        <w:top w:val="none" w:sz="0" w:space="0" w:color="auto"/>
        <w:left w:val="none" w:sz="0" w:space="0" w:color="auto"/>
        <w:bottom w:val="none" w:sz="0" w:space="0" w:color="auto"/>
        <w:right w:val="none" w:sz="0" w:space="0" w:color="auto"/>
      </w:divBdr>
    </w:div>
    <w:div w:id="1378428965">
      <w:bodyDiv w:val="1"/>
      <w:marLeft w:val="0"/>
      <w:marRight w:val="0"/>
      <w:marTop w:val="0"/>
      <w:marBottom w:val="0"/>
      <w:divBdr>
        <w:top w:val="none" w:sz="0" w:space="0" w:color="auto"/>
        <w:left w:val="none" w:sz="0" w:space="0" w:color="auto"/>
        <w:bottom w:val="none" w:sz="0" w:space="0" w:color="auto"/>
        <w:right w:val="none" w:sz="0" w:space="0" w:color="auto"/>
      </w:divBdr>
    </w:div>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818">
      <w:bodyDiv w:val="1"/>
      <w:marLeft w:val="0"/>
      <w:marRight w:val="0"/>
      <w:marTop w:val="0"/>
      <w:marBottom w:val="0"/>
      <w:divBdr>
        <w:top w:val="none" w:sz="0" w:space="0" w:color="auto"/>
        <w:left w:val="none" w:sz="0" w:space="0" w:color="auto"/>
        <w:bottom w:val="none" w:sz="0" w:space="0" w:color="auto"/>
        <w:right w:val="none" w:sz="0" w:space="0" w:color="auto"/>
      </w:divBdr>
    </w:div>
    <w:div w:id="19365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63A39-71CB-4394-A7F4-B4293333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 Abbott</dc:creator>
  <cp:lastModifiedBy>Rich Abbott</cp:lastModifiedBy>
  <cp:revision>3</cp:revision>
  <cp:lastPrinted>2013-08-26T23:39:00Z</cp:lastPrinted>
  <dcterms:created xsi:type="dcterms:W3CDTF">2014-01-21T19:07:00Z</dcterms:created>
  <dcterms:modified xsi:type="dcterms:W3CDTF">2014-01-21T19:07:00Z</dcterms:modified>
</cp:coreProperties>
</file>