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3A74AD92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>
        <w:t>1</w:t>
      </w:r>
      <w:r w:rsidR="0057409D">
        <w:t>300827</w:t>
      </w:r>
      <w:r w:rsidR="00F5292B">
        <w:t>-v</w:t>
      </w:r>
      <w:r w:rsidR="00832753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57409D">
        <w:t>November 11</w:t>
      </w:r>
      <w:r w:rsidR="00B8062A">
        <w:t>, 2013</w:t>
      </w:r>
    </w:p>
    <w:p w14:paraId="26D9D457" w14:textId="77777777" w:rsidR="005F48B2" w:rsidRDefault="00870F6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33674D8F" w:rsidR="005F48B2" w:rsidRDefault="003562C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BF7F56">
        <w:rPr>
          <w:i/>
        </w:rPr>
        <w:t xml:space="preserve">Demodulators and Phase-Frequency </w:t>
      </w:r>
      <w:r w:rsidR="001956C3">
        <w:rPr>
          <w:i/>
        </w:rPr>
        <w:t>Discriminators</w:t>
      </w:r>
      <w:r w:rsidR="00FD295E"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870F6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6157580A" w:rsidR="005F48B2" w:rsidRDefault="00BF7F5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  <w:r w:rsidR="003562C3">
        <w:t>, P. Fritschel</w:t>
      </w:r>
      <w:r>
        <w:t xml:space="preserve">, D. </w:t>
      </w:r>
      <w:proofErr w:type="spellStart"/>
      <w:r>
        <w:t>Sigg</w:t>
      </w:r>
      <w:proofErr w:type="spellEnd"/>
    </w:p>
    <w:p w14:paraId="1295FEEE" w14:textId="77777777" w:rsidR="005F48B2" w:rsidRDefault="005F48B2">
      <w:pPr>
        <w:pStyle w:val="PlainText"/>
        <w:spacing w:before="0"/>
        <w:jc w:val="center"/>
      </w:pPr>
    </w:p>
    <w:p w14:paraId="028A00F4" w14:textId="3083F763" w:rsidR="005F48B2" w:rsidRDefault="005F48B2">
      <w:pPr>
        <w:pStyle w:val="PlainText"/>
        <w:spacing w:before="0"/>
        <w:jc w:val="center"/>
      </w:pP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51B664CF" w14:textId="77777777" w:rsidR="004349B8" w:rsidRDefault="004349B8">
      <w:pPr>
        <w:pStyle w:val="PlainText"/>
        <w:spacing w:before="0"/>
        <w:jc w:val="left"/>
      </w:pPr>
    </w:p>
    <w:p w14:paraId="5D463CDA" w14:textId="77777777" w:rsidR="004349B8" w:rsidRDefault="004349B8">
      <w:pPr>
        <w:pStyle w:val="PlainText"/>
        <w:spacing w:before="0"/>
        <w:jc w:val="left"/>
      </w:pPr>
    </w:p>
    <w:p w14:paraId="6A99675C" w14:textId="77777777" w:rsidR="004349B8" w:rsidRDefault="004349B8">
      <w:pPr>
        <w:pStyle w:val="PlainText"/>
        <w:spacing w:before="0"/>
        <w:jc w:val="left"/>
      </w:pPr>
    </w:p>
    <w:p w14:paraId="1A1F3168" w14:textId="77777777" w:rsidR="004349B8" w:rsidRDefault="004349B8">
      <w:pPr>
        <w:pStyle w:val="PlainText"/>
        <w:spacing w:before="0"/>
        <w:jc w:val="left"/>
      </w:pPr>
    </w:p>
    <w:p w14:paraId="39B7155C" w14:textId="77777777" w:rsidR="004349B8" w:rsidRDefault="004349B8">
      <w:pPr>
        <w:pStyle w:val="PlainText"/>
        <w:spacing w:before="0"/>
        <w:jc w:val="left"/>
      </w:pPr>
    </w:p>
    <w:p w14:paraId="3FBB3533" w14:textId="77777777" w:rsidR="004349B8" w:rsidRDefault="004349B8">
      <w:pPr>
        <w:pStyle w:val="PlainText"/>
        <w:spacing w:before="0"/>
        <w:jc w:val="left"/>
      </w:pPr>
    </w:p>
    <w:p w14:paraId="0BF4CA02" w14:textId="77777777" w:rsidR="004349B8" w:rsidRDefault="004349B8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Pr="00223FBC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52AE0EF2" w14:textId="7D87F3E8" w:rsidR="006221E4" w:rsidRPr="006221E4" w:rsidRDefault="007D6DE6" w:rsidP="007313B9">
      <w:r>
        <w:t xml:space="preserve">The requirements for the RF demodulators and phase-frequency </w:t>
      </w:r>
      <w:r w:rsidR="0005630C">
        <w:t>discriminators</w:t>
      </w:r>
      <w:r>
        <w:t xml:space="preserve"> are included in the overall design documentation; see below</w:t>
      </w:r>
      <w:r w:rsidR="000D7FE6">
        <w:t>.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356C55A5" w14:textId="2744785D" w:rsidR="004040E9" w:rsidRPr="0041715C" w:rsidRDefault="00A34ABF" w:rsidP="0041715C">
      <w:pPr>
        <w:pStyle w:val="ListParagraph"/>
        <w:numPr>
          <w:ilvl w:val="0"/>
          <w:numId w:val="36"/>
        </w:numPr>
        <w:jc w:val="left"/>
        <w:rPr>
          <w:rFonts w:cs="Helvetica"/>
          <w:i/>
        </w:rPr>
      </w:pPr>
      <w:r w:rsidRPr="0041715C">
        <w:rPr>
          <w:rFonts w:cs="Helvetica"/>
          <w:i/>
        </w:rPr>
        <w:t xml:space="preserve">Final Design Document (FDD): </w:t>
      </w:r>
    </w:p>
    <w:p w14:paraId="759D1BE8" w14:textId="77777777" w:rsidR="0041715C" w:rsidRPr="0041715C" w:rsidRDefault="0041715C" w:rsidP="0041715C">
      <w:pPr>
        <w:pStyle w:val="ListParagraph"/>
        <w:numPr>
          <w:ilvl w:val="0"/>
          <w:numId w:val="0"/>
        </w:numPr>
        <w:ind w:left="720"/>
        <w:jc w:val="left"/>
        <w:rPr>
          <w:rFonts w:cs="Helvetica"/>
        </w:rPr>
      </w:pPr>
    </w:p>
    <w:tbl>
      <w:tblPr>
        <w:tblStyle w:val="TableList3"/>
        <w:tblW w:w="0" w:type="auto"/>
        <w:tblLook w:val="0620" w:firstRow="1" w:lastRow="0" w:firstColumn="0" w:lastColumn="0" w:noHBand="1" w:noVBand="1"/>
      </w:tblPr>
      <w:tblGrid>
        <w:gridCol w:w="2988"/>
        <w:gridCol w:w="2250"/>
        <w:gridCol w:w="4568"/>
      </w:tblGrid>
      <w:tr w:rsidR="00926C04" w14:paraId="7817AE48" w14:textId="77777777" w:rsidTr="004C1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8" w:type="dxa"/>
            <w:tcBorders>
              <w:top w:val="single" w:sz="12" w:space="0" w:color="000000"/>
              <w:right w:val="single" w:sz="4" w:space="0" w:color="auto"/>
            </w:tcBorders>
          </w:tcPr>
          <w:p w14:paraId="727617B5" w14:textId="63B5895D" w:rsidR="004040E9" w:rsidRDefault="004040E9" w:rsidP="004C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Type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7786647" w14:textId="7894CEE3" w:rsidR="004040E9" w:rsidRDefault="004C1454" w:rsidP="004C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DCC</w:t>
            </w:r>
          </w:p>
        </w:tc>
        <w:tc>
          <w:tcPr>
            <w:tcW w:w="4568" w:type="dxa"/>
          </w:tcPr>
          <w:p w14:paraId="371B427E" w14:textId="49AB8674" w:rsidR="004C1454" w:rsidRDefault="004C1454" w:rsidP="004C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aLIGO </w:t>
            </w:r>
            <w:r w:rsidR="004040E9">
              <w:rPr>
                <w:rFonts w:cs="Helvetica"/>
                <w:szCs w:val="24"/>
              </w:rPr>
              <w:t>Wiki page</w:t>
            </w:r>
            <w:r>
              <w:rPr>
                <w:rFonts w:cs="Helvetica"/>
                <w:szCs w:val="24"/>
              </w:rPr>
              <w:t>:</w:t>
            </w:r>
          </w:p>
          <w:p w14:paraId="20F87E72" w14:textId="2BD29BB0" w:rsidR="004040E9" w:rsidRDefault="004C1454" w:rsidP="004C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https://awiki.ligo-wa.caltech.edu/aLIGO/</w:t>
            </w:r>
          </w:p>
        </w:tc>
      </w:tr>
      <w:tr w:rsidR="00926C04" w14:paraId="1C149C57" w14:textId="77777777" w:rsidTr="004C1454">
        <w:tc>
          <w:tcPr>
            <w:tcW w:w="2988" w:type="dxa"/>
            <w:tcBorders>
              <w:right w:val="single" w:sz="4" w:space="0" w:color="auto"/>
            </w:tcBorders>
          </w:tcPr>
          <w:p w14:paraId="3F85FC50" w14:textId="24C2AE32" w:rsidR="004040E9" w:rsidRDefault="004040E9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4-channel I/Q demodulator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22D6228" w14:textId="460E3569" w:rsidR="004040E9" w:rsidRDefault="00870F6E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hyperlink r:id="rId9" w:history="1">
              <w:r w:rsidR="008F0ADD" w:rsidRPr="008F0ADD">
                <w:rPr>
                  <w:rStyle w:val="Hyperlink"/>
                  <w:rFonts w:cs="Helvetica"/>
                  <w:szCs w:val="24"/>
                </w:rPr>
                <w:t>LIGO-T1000044</w:t>
              </w:r>
            </w:hyperlink>
          </w:p>
        </w:tc>
        <w:tc>
          <w:tcPr>
            <w:tcW w:w="4568" w:type="dxa"/>
            <w:vAlign w:val="center"/>
          </w:tcPr>
          <w:p w14:paraId="721B4AE1" w14:textId="66700982" w:rsidR="004040E9" w:rsidRPr="004C1454" w:rsidRDefault="00926C04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proofErr w:type="spellStart"/>
            <w:r w:rsidRPr="004C1454">
              <w:rPr>
                <w:rFonts w:cs="Helvetica"/>
                <w:szCs w:val="24"/>
              </w:rPr>
              <w:t>IQ_Demodulator</w:t>
            </w:r>
            <w:proofErr w:type="spellEnd"/>
          </w:p>
        </w:tc>
      </w:tr>
      <w:tr w:rsidR="00926C04" w14:paraId="7D1D2F89" w14:textId="77777777" w:rsidTr="004C1454">
        <w:tc>
          <w:tcPr>
            <w:tcW w:w="2988" w:type="dxa"/>
            <w:tcBorders>
              <w:right w:val="single" w:sz="4" w:space="0" w:color="auto"/>
            </w:tcBorders>
          </w:tcPr>
          <w:p w14:paraId="5DBE8028" w14:textId="2A23D57D" w:rsidR="004040E9" w:rsidRDefault="008F0ADD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2-channel I/Q demodulator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0477477" w14:textId="18E61B84" w:rsidR="004040E9" w:rsidRDefault="00870F6E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hyperlink r:id="rId10" w:history="1">
              <w:r w:rsidR="006169EE" w:rsidRPr="006169EE">
                <w:rPr>
                  <w:rStyle w:val="Hyperlink"/>
                  <w:rFonts w:cs="Helvetica"/>
                  <w:szCs w:val="24"/>
                </w:rPr>
                <w:t>LIGO-E1100044</w:t>
              </w:r>
            </w:hyperlink>
          </w:p>
        </w:tc>
        <w:tc>
          <w:tcPr>
            <w:tcW w:w="4568" w:type="dxa"/>
          </w:tcPr>
          <w:p w14:paraId="004BF5B1" w14:textId="7329A933" w:rsidR="004040E9" w:rsidRPr="004C1454" w:rsidRDefault="004C1454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r w:rsidRPr="004C1454">
              <w:rPr>
                <w:rFonts w:cs="Helvetica"/>
                <w:szCs w:val="24"/>
              </w:rPr>
              <w:t>IQ_Demodulator_2-chn</w:t>
            </w:r>
          </w:p>
        </w:tc>
      </w:tr>
      <w:tr w:rsidR="004C1454" w14:paraId="75111624" w14:textId="77777777" w:rsidTr="004C1454">
        <w:tc>
          <w:tcPr>
            <w:tcW w:w="2988" w:type="dxa"/>
            <w:tcBorders>
              <w:bottom w:val="single" w:sz="12" w:space="0" w:color="000000"/>
              <w:right w:val="single" w:sz="4" w:space="0" w:color="auto"/>
            </w:tcBorders>
          </w:tcPr>
          <w:p w14:paraId="2E7AC382" w14:textId="7932D8EB" w:rsidR="004C1454" w:rsidRDefault="004C1454" w:rsidP="0005630C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Phase-frequency d</w:t>
            </w:r>
            <w:r w:rsidR="0005630C">
              <w:rPr>
                <w:rFonts w:cs="Helvetica"/>
                <w:szCs w:val="24"/>
              </w:rPr>
              <w:t>iscriminator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6AB28B2" w14:textId="18AF7395" w:rsidR="004C1454" w:rsidRDefault="00870F6E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hyperlink r:id="rId11" w:history="1">
              <w:r w:rsidR="00470D0C" w:rsidRPr="00470D0C">
                <w:rPr>
                  <w:rStyle w:val="Hyperlink"/>
                  <w:rFonts w:cs="Helvetica"/>
                  <w:szCs w:val="24"/>
                </w:rPr>
                <w:t>LIGO-E1000450</w:t>
              </w:r>
            </w:hyperlink>
          </w:p>
        </w:tc>
        <w:tc>
          <w:tcPr>
            <w:tcW w:w="4568" w:type="dxa"/>
          </w:tcPr>
          <w:p w14:paraId="5F44FFAA" w14:textId="204CF5BA" w:rsidR="004C1454" w:rsidRPr="004C1454" w:rsidRDefault="004C1454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proofErr w:type="spellStart"/>
            <w:r w:rsidRPr="004C1454">
              <w:rPr>
                <w:rFonts w:cs="Helvetica"/>
                <w:szCs w:val="24"/>
              </w:rPr>
              <w:t>PhaseFrequencyDiscriminator</w:t>
            </w:r>
            <w:proofErr w:type="spellEnd"/>
          </w:p>
        </w:tc>
      </w:tr>
    </w:tbl>
    <w:p w14:paraId="672AB23F" w14:textId="77777777" w:rsidR="004040E9" w:rsidRPr="00A34ABF" w:rsidRDefault="004040E9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color w:val="FF0000"/>
          <w:szCs w:val="24"/>
        </w:rPr>
      </w:pPr>
    </w:p>
    <w:p w14:paraId="6031C5BB" w14:textId="77777777" w:rsidR="00A34ABF" w:rsidRPr="000D7FE6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0D7FE6">
        <w:rPr>
          <w:rFonts w:cs="Helvetica"/>
          <w:i/>
          <w:szCs w:val="24"/>
        </w:rPr>
        <w:t>b) Review reports:</w:t>
      </w:r>
    </w:p>
    <w:p w14:paraId="707B7C75" w14:textId="5B87AF34" w:rsidR="00A34ABF" w:rsidRDefault="000D7FE6" w:rsidP="000D7FE6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>FDR report: LIGO-</w:t>
      </w:r>
      <w:r w:rsidR="00E82C49">
        <w:rPr>
          <w:rFonts w:cs="Helvetica"/>
        </w:rPr>
        <w:t>L1000094</w:t>
      </w:r>
      <w:r>
        <w:rPr>
          <w:rFonts w:cs="Helvetica"/>
        </w:rPr>
        <w:t>-v1</w:t>
      </w:r>
    </w:p>
    <w:p w14:paraId="60453860" w14:textId="2055D3D8" w:rsidR="000D7FE6" w:rsidRPr="000D7FE6" w:rsidRDefault="00E82C49" w:rsidP="000D7FE6">
      <w:pPr>
        <w:pStyle w:val="ListParagraph"/>
        <w:numPr>
          <w:ilvl w:val="0"/>
          <w:numId w:val="35"/>
        </w:numPr>
        <w:ind w:right="-40"/>
        <w:jc w:val="left"/>
        <w:rPr>
          <w:rFonts w:cs="Helvetica"/>
        </w:rPr>
      </w:pPr>
      <w:r>
        <w:rPr>
          <w:rFonts w:cs="Helvetica"/>
        </w:rPr>
        <w:t xml:space="preserve">Response to FDR report: </w:t>
      </w:r>
      <w:r w:rsidR="0005630C">
        <w:rPr>
          <w:rFonts w:cs="Helvetica"/>
        </w:rPr>
        <w:t>included as attached file in the above.</w:t>
      </w:r>
    </w:p>
    <w:p w14:paraId="3B9E4196" w14:textId="513A3861" w:rsid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c) Supporting design documents: </w:t>
      </w:r>
      <w:r w:rsidR="0041715C">
        <w:rPr>
          <w:rFonts w:cs="Helvetica"/>
          <w:szCs w:val="24"/>
        </w:rPr>
        <w:t>Everything is in the DCC tree, under the nodes</w:t>
      </w:r>
      <w:r w:rsidR="005B3401">
        <w:rPr>
          <w:rFonts w:cs="Helvetica"/>
          <w:szCs w:val="24"/>
        </w:rPr>
        <w:t>:</w:t>
      </w:r>
    </w:p>
    <w:p w14:paraId="08CE1BD0" w14:textId="77777777" w:rsidR="001658F6" w:rsidRDefault="005B3401" w:rsidP="00A34ABF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  <w:sz w:val="20"/>
          <w:szCs w:val="24"/>
        </w:rPr>
      </w:pPr>
      <w:proofErr w:type="gramStart"/>
      <w:r w:rsidRPr="00BC0AE7">
        <w:rPr>
          <w:rFonts w:ascii="Arial" w:hAnsi="Arial" w:cs="Helvetica"/>
          <w:sz w:val="20"/>
          <w:szCs w:val="24"/>
        </w:rPr>
        <w:t>aLIGO</w:t>
      </w:r>
      <w:proofErr w:type="gramEnd"/>
      <w:r w:rsidRPr="00BC0AE7">
        <w:rPr>
          <w:rFonts w:ascii="Arial" w:hAnsi="Arial" w:cs="Helvetica"/>
          <w:sz w:val="20"/>
          <w:szCs w:val="24"/>
        </w:rPr>
        <w:t xml:space="preserve"> Document Tree &gt; aLIGO, ISC &gt; aLIGO, ISC, </w:t>
      </w:r>
      <w:r w:rsidR="0005630C" w:rsidRPr="00BC0AE7">
        <w:rPr>
          <w:rFonts w:ascii="Arial" w:hAnsi="Arial" w:cs="Helvetica"/>
          <w:sz w:val="20"/>
          <w:szCs w:val="24"/>
        </w:rPr>
        <w:t>Electronics</w:t>
      </w:r>
      <w:r w:rsidRPr="00BC0AE7">
        <w:rPr>
          <w:rFonts w:ascii="Arial" w:hAnsi="Arial" w:cs="Helvetica"/>
          <w:sz w:val="20"/>
          <w:szCs w:val="24"/>
        </w:rPr>
        <w:t xml:space="preserve"> &gt; aLIGO, ISC, </w:t>
      </w:r>
      <w:r w:rsidR="0005630C" w:rsidRPr="00BC0AE7">
        <w:rPr>
          <w:rFonts w:ascii="Arial" w:hAnsi="Arial" w:cs="Helvetica"/>
          <w:sz w:val="20"/>
          <w:szCs w:val="24"/>
        </w:rPr>
        <w:t>Electronics, RF System</w:t>
      </w:r>
      <w:r w:rsidRPr="00BC0AE7">
        <w:rPr>
          <w:rFonts w:ascii="Arial" w:hAnsi="Arial" w:cs="Helvetica"/>
          <w:sz w:val="20"/>
          <w:szCs w:val="24"/>
        </w:rPr>
        <w:t xml:space="preserve">: </w:t>
      </w:r>
    </w:p>
    <w:p w14:paraId="1D982FEF" w14:textId="4D33C299" w:rsidR="001658F6" w:rsidRPr="001658F6" w:rsidRDefault="0005630C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  <w:sz w:val="20"/>
        </w:rPr>
      </w:pPr>
      <w:r w:rsidRPr="001658F6">
        <w:rPr>
          <w:rFonts w:ascii="Arial" w:hAnsi="Arial" w:cs="Helvetica"/>
          <w:sz w:val="20"/>
        </w:rPr>
        <w:t>E1200112</w:t>
      </w:r>
      <w:r w:rsidR="00A44B7F" w:rsidRPr="001658F6">
        <w:rPr>
          <w:rFonts w:ascii="Arial" w:hAnsi="Arial" w:cs="Helvetica"/>
          <w:sz w:val="20"/>
        </w:rPr>
        <w:t xml:space="preserve"> (4-ch I/Q)</w:t>
      </w:r>
      <w:r w:rsidRPr="001658F6">
        <w:rPr>
          <w:rFonts w:ascii="Arial" w:hAnsi="Arial" w:cs="Helvetica"/>
          <w:sz w:val="20"/>
        </w:rPr>
        <w:t xml:space="preserve"> </w:t>
      </w:r>
    </w:p>
    <w:p w14:paraId="57DCE568" w14:textId="77777777" w:rsidR="001658F6" w:rsidRPr="001658F6" w:rsidRDefault="0005630C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 w:rsidRPr="001658F6">
        <w:rPr>
          <w:rFonts w:ascii="Arial" w:hAnsi="Arial" w:cs="Helvetica"/>
          <w:sz w:val="20"/>
        </w:rPr>
        <w:t>E1200113</w:t>
      </w:r>
      <w:r w:rsidR="00A44B7F" w:rsidRPr="001658F6">
        <w:rPr>
          <w:rFonts w:ascii="Arial" w:hAnsi="Arial" w:cs="Helvetica"/>
          <w:sz w:val="20"/>
        </w:rPr>
        <w:t xml:space="preserve"> (2-ch I/Q)</w:t>
      </w:r>
    </w:p>
    <w:p w14:paraId="5B658760" w14:textId="5059A903" w:rsidR="005B3401" w:rsidRPr="001658F6" w:rsidRDefault="0005630C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 w:rsidRPr="001658F6">
        <w:rPr>
          <w:rFonts w:ascii="Arial" w:hAnsi="Arial" w:cs="Helvetica"/>
          <w:sz w:val="20"/>
        </w:rPr>
        <w:t>E1200114</w:t>
      </w:r>
      <w:r w:rsidR="00A44B7F" w:rsidRPr="001658F6">
        <w:rPr>
          <w:rFonts w:ascii="Arial" w:hAnsi="Arial" w:cs="Helvetica"/>
          <w:sz w:val="20"/>
        </w:rPr>
        <w:t xml:space="preserve"> (PFD)</w:t>
      </w:r>
    </w:p>
    <w:p w14:paraId="5DB0F874" w14:textId="48386078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d) Drawings: </w:t>
      </w:r>
      <w:r w:rsidR="00A44B7F">
        <w:rPr>
          <w:rFonts w:cs="Helvetica"/>
          <w:szCs w:val="24"/>
        </w:rPr>
        <w:t xml:space="preserve">Schematics and assembly drawings </w:t>
      </w:r>
      <w:r w:rsidR="001658F6">
        <w:rPr>
          <w:rFonts w:cs="Helvetica"/>
          <w:szCs w:val="24"/>
        </w:rPr>
        <w:t xml:space="preserve">are all </w:t>
      </w:r>
      <w:r w:rsidR="00A44B7F">
        <w:rPr>
          <w:rFonts w:cs="Helvetica"/>
          <w:szCs w:val="24"/>
        </w:rPr>
        <w:t>linked in the DCC tree</w:t>
      </w:r>
      <w:r w:rsidR="001658F6">
        <w:rPr>
          <w:rFonts w:cs="Helvetica"/>
          <w:szCs w:val="24"/>
        </w:rPr>
        <w:t>.</w:t>
      </w:r>
    </w:p>
    <w:p w14:paraId="762BF241" w14:textId="726ED8F8" w:rsidR="00A34ABF" w:rsidRP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e) Bill(s) of Materials (BOM): </w:t>
      </w:r>
      <w:r w:rsidR="00A44B7F">
        <w:rPr>
          <w:rFonts w:cs="Helvetica"/>
          <w:szCs w:val="24"/>
        </w:rPr>
        <w:t>The assembly file card for each module type includes the bill of materials.</w:t>
      </w:r>
    </w:p>
    <w:p w14:paraId="1C0C3EA3" w14:textId="68B44F3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f) Interface control: </w:t>
      </w:r>
      <w:r w:rsidR="00611E22">
        <w:rPr>
          <w:rFonts w:cs="Helvetica"/>
          <w:szCs w:val="24"/>
        </w:rPr>
        <w:t>none</w:t>
      </w:r>
    </w:p>
    <w:p w14:paraId="50A90DB7" w14:textId="2D6B0F12" w:rsidR="00A34ABF" w:rsidRP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color w:val="FF0000"/>
          <w:szCs w:val="24"/>
        </w:rPr>
      </w:pPr>
      <w:r w:rsidRPr="00611E22">
        <w:rPr>
          <w:rFonts w:cs="Helvetica"/>
          <w:i/>
          <w:szCs w:val="24"/>
        </w:rPr>
        <w:t xml:space="preserve">g) Software: </w:t>
      </w:r>
      <w:r w:rsidR="00611E22">
        <w:rPr>
          <w:rFonts w:cs="Helvetica"/>
          <w:szCs w:val="24"/>
        </w:rPr>
        <w:t>not relevant</w:t>
      </w:r>
    </w:p>
    <w:p w14:paraId="75CB97FD" w14:textId="421ED12F" w:rsidR="005F48B2" w:rsidRPr="003F2D24" w:rsidRDefault="00A34ABF" w:rsidP="003F2D24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h) Design source data:</w:t>
      </w:r>
      <w:r w:rsidR="00611E22">
        <w:rPr>
          <w:rFonts w:cs="Helvetica"/>
          <w:szCs w:val="24"/>
        </w:rPr>
        <w:t xml:space="preserve"> </w:t>
      </w:r>
      <w:proofErr w:type="spellStart"/>
      <w:r w:rsidR="00A44B7F">
        <w:rPr>
          <w:rFonts w:cs="Helvetica"/>
          <w:szCs w:val="24"/>
        </w:rPr>
        <w:t>Altium</w:t>
      </w:r>
      <w:proofErr w:type="spellEnd"/>
      <w:r w:rsidR="00A44B7F">
        <w:rPr>
          <w:rFonts w:cs="Helvetica"/>
          <w:szCs w:val="24"/>
        </w:rPr>
        <w:t xml:space="preserve"> project files are included in the DCC file card for each board.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766D3CF2" w14:textId="7AE3E59D" w:rsidR="00611E22" w:rsidRPr="00A44B7F" w:rsidRDefault="00A44B7F" w:rsidP="007313B9">
      <w:r w:rsidRPr="00A44B7F">
        <w:t>No special materials.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and </w:t>
      </w:r>
      <w:r w:rsidR="003D4D8F" w:rsidRPr="003D4D8F">
        <w:rPr>
          <w:color w:val="FF0000"/>
        </w:rPr>
        <w:t>in-process</w:t>
      </w:r>
      <w:r w:rsidR="003D4D8F">
        <w:t xml:space="preserve"> </w:t>
      </w:r>
      <w:r>
        <w:t>spares inventoried</w:t>
      </w:r>
    </w:p>
    <w:p w14:paraId="06C502D3" w14:textId="77777777" w:rsidR="006436BC" w:rsidRDefault="004B1994">
      <w:r>
        <w:t xml:space="preserve">All modules are entered in ICS. </w:t>
      </w:r>
      <w:r w:rsidR="006436BC">
        <w:t>Quantities:</w:t>
      </w:r>
    </w:p>
    <w:p w14:paraId="7EC17183" w14:textId="77777777" w:rsidR="00764EE3" w:rsidRDefault="00764EE3"/>
    <w:p w14:paraId="5E2C9CBC" w14:textId="77777777" w:rsidR="00764EE3" w:rsidRDefault="00764EE3"/>
    <w:p w14:paraId="7085B2BC" w14:textId="77777777" w:rsidR="00764EE3" w:rsidRDefault="00764EE3"/>
    <w:p w14:paraId="5426B95A" w14:textId="77777777" w:rsidR="00764EE3" w:rsidRDefault="00764EE3"/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2808"/>
        <w:gridCol w:w="2340"/>
        <w:gridCol w:w="2206"/>
        <w:gridCol w:w="2452"/>
      </w:tblGrid>
      <w:tr w:rsidR="00764EE3" w14:paraId="456B600F" w14:textId="77777777" w:rsidTr="00764EE3">
        <w:tc>
          <w:tcPr>
            <w:tcW w:w="2808" w:type="dxa"/>
            <w:tcBorders>
              <w:bottom w:val="single" w:sz="18" w:space="0" w:color="auto"/>
            </w:tcBorders>
          </w:tcPr>
          <w:p w14:paraId="647BE6D2" w14:textId="54B06B57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Module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052F6D6" w14:textId="0F12B9E8" w:rsidR="006436BC" w:rsidRPr="00764EE3" w:rsidRDefault="007B6CA9" w:rsidP="00764EE3">
            <w:pPr>
              <w:jc w:val="center"/>
              <w:rPr>
                <w:b/>
              </w:rPr>
            </w:pPr>
            <w:proofErr w:type="spellStart"/>
            <w:r w:rsidRPr="00764EE3">
              <w:rPr>
                <w:b/>
              </w:rPr>
              <w:t>Qty</w:t>
            </w:r>
            <w:proofErr w:type="spellEnd"/>
            <w:r w:rsidRPr="00764EE3">
              <w:rPr>
                <w:b/>
              </w:rPr>
              <w:t xml:space="preserve"> in ICS</w:t>
            </w:r>
          </w:p>
        </w:tc>
        <w:tc>
          <w:tcPr>
            <w:tcW w:w="2206" w:type="dxa"/>
            <w:tcBorders>
              <w:bottom w:val="single" w:sz="18" w:space="0" w:color="auto"/>
            </w:tcBorders>
          </w:tcPr>
          <w:p w14:paraId="09D41C7A" w14:textId="5C72AFD4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Needed for 3 IFO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95538A8" w14:textId="36D03AD9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Spares</w:t>
            </w:r>
          </w:p>
        </w:tc>
      </w:tr>
      <w:tr w:rsidR="006436BC" w14:paraId="15D2369E" w14:textId="77777777" w:rsidTr="00764EE3">
        <w:tc>
          <w:tcPr>
            <w:tcW w:w="2808" w:type="dxa"/>
            <w:tcBorders>
              <w:top w:val="single" w:sz="18" w:space="0" w:color="auto"/>
            </w:tcBorders>
          </w:tcPr>
          <w:p w14:paraId="435104A4" w14:textId="5CC6B76A" w:rsidR="006436BC" w:rsidRDefault="007670A3">
            <w:r>
              <w:t>4-ch I/Q: D0902796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162BDA01" w14:textId="28729E05" w:rsidR="006436BC" w:rsidRDefault="00764EE3" w:rsidP="00764EE3">
            <w:pPr>
              <w:jc w:val="center"/>
            </w:pPr>
            <w:r>
              <w:t>66</w:t>
            </w:r>
          </w:p>
        </w:tc>
        <w:tc>
          <w:tcPr>
            <w:tcW w:w="2206" w:type="dxa"/>
            <w:tcBorders>
              <w:top w:val="single" w:sz="18" w:space="0" w:color="auto"/>
            </w:tcBorders>
          </w:tcPr>
          <w:p w14:paraId="2B570459" w14:textId="5024DBB0" w:rsidR="006436BC" w:rsidRDefault="00764EE3" w:rsidP="00764EE3">
            <w:pPr>
              <w:jc w:val="center"/>
            </w:pPr>
            <w:r>
              <w:t>45</w:t>
            </w:r>
          </w:p>
        </w:tc>
        <w:tc>
          <w:tcPr>
            <w:tcW w:w="2452" w:type="dxa"/>
            <w:tcBorders>
              <w:top w:val="single" w:sz="18" w:space="0" w:color="auto"/>
            </w:tcBorders>
          </w:tcPr>
          <w:p w14:paraId="444E95B6" w14:textId="310CDFC8" w:rsidR="006436BC" w:rsidRDefault="00764EE3" w:rsidP="00764EE3">
            <w:pPr>
              <w:jc w:val="center"/>
            </w:pPr>
            <w:r>
              <w:t>21</w:t>
            </w:r>
          </w:p>
        </w:tc>
      </w:tr>
      <w:tr w:rsidR="006436BC" w14:paraId="4D21B279" w14:textId="77777777" w:rsidTr="00764EE3">
        <w:tc>
          <w:tcPr>
            <w:tcW w:w="2808" w:type="dxa"/>
          </w:tcPr>
          <w:p w14:paraId="3C861A86" w14:textId="0D664BB2" w:rsidR="006436BC" w:rsidRDefault="00764EE3">
            <w:r>
              <w:t>2-ch I/Q: D1000181</w:t>
            </w:r>
          </w:p>
        </w:tc>
        <w:tc>
          <w:tcPr>
            <w:tcW w:w="2340" w:type="dxa"/>
          </w:tcPr>
          <w:p w14:paraId="7FB45952" w14:textId="55F1C443" w:rsidR="006436BC" w:rsidRDefault="00764EE3" w:rsidP="00764EE3">
            <w:pPr>
              <w:jc w:val="center"/>
            </w:pPr>
            <w:r>
              <w:t>20</w:t>
            </w:r>
          </w:p>
        </w:tc>
        <w:tc>
          <w:tcPr>
            <w:tcW w:w="2206" w:type="dxa"/>
          </w:tcPr>
          <w:p w14:paraId="44D3AC67" w14:textId="779A6127" w:rsidR="006436BC" w:rsidRDefault="00764EE3" w:rsidP="00764EE3">
            <w:pPr>
              <w:jc w:val="center"/>
            </w:pPr>
            <w:r>
              <w:t>12</w:t>
            </w:r>
          </w:p>
        </w:tc>
        <w:tc>
          <w:tcPr>
            <w:tcW w:w="2452" w:type="dxa"/>
          </w:tcPr>
          <w:p w14:paraId="0789D0F3" w14:textId="7348E4B2" w:rsidR="006436BC" w:rsidRDefault="00764EE3" w:rsidP="00764EE3">
            <w:pPr>
              <w:jc w:val="center"/>
            </w:pPr>
            <w:r>
              <w:t>8</w:t>
            </w:r>
          </w:p>
        </w:tc>
      </w:tr>
      <w:tr w:rsidR="00764EE3" w14:paraId="17324659" w14:textId="77777777" w:rsidTr="00764EE3">
        <w:tc>
          <w:tcPr>
            <w:tcW w:w="2808" w:type="dxa"/>
          </w:tcPr>
          <w:p w14:paraId="5679C319" w14:textId="6CA190A1" w:rsidR="00764EE3" w:rsidRDefault="00764EE3">
            <w:r>
              <w:t>PFD: D1002476</w:t>
            </w:r>
          </w:p>
        </w:tc>
        <w:tc>
          <w:tcPr>
            <w:tcW w:w="2340" w:type="dxa"/>
          </w:tcPr>
          <w:p w14:paraId="183E6E20" w14:textId="0D364FA7" w:rsidR="00764EE3" w:rsidRDefault="00764EE3" w:rsidP="00764EE3">
            <w:pPr>
              <w:jc w:val="center"/>
            </w:pPr>
            <w:r>
              <w:t>15</w:t>
            </w:r>
          </w:p>
        </w:tc>
        <w:tc>
          <w:tcPr>
            <w:tcW w:w="2206" w:type="dxa"/>
          </w:tcPr>
          <w:p w14:paraId="2E138583" w14:textId="788E0ACD" w:rsidR="00764EE3" w:rsidRDefault="00764EE3" w:rsidP="00764EE3">
            <w:pPr>
              <w:jc w:val="center"/>
            </w:pPr>
            <w:r>
              <w:t>9</w:t>
            </w:r>
          </w:p>
        </w:tc>
        <w:tc>
          <w:tcPr>
            <w:tcW w:w="2452" w:type="dxa"/>
          </w:tcPr>
          <w:p w14:paraId="3DF5BBCC" w14:textId="7C416191" w:rsidR="00764EE3" w:rsidRDefault="00764EE3" w:rsidP="00764EE3">
            <w:pPr>
              <w:jc w:val="center"/>
            </w:pPr>
            <w:r>
              <w:t>6</w:t>
            </w:r>
          </w:p>
        </w:tc>
      </w:tr>
    </w:tbl>
    <w:p w14:paraId="52C18D1F" w14:textId="77777777" w:rsidR="003F2D24" w:rsidRPr="00AA4301" w:rsidRDefault="003F2D24"/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65BFDE7B" w14:textId="2A4D909F" w:rsidR="0093103C" w:rsidRDefault="00B2512B" w:rsidP="007313B9">
      <w:r>
        <w:t xml:space="preserve">Chassis assembly procedure for </w:t>
      </w:r>
      <w:proofErr w:type="gramStart"/>
      <w:r>
        <w:t>I/Q</w:t>
      </w:r>
      <w:proofErr w:type="gramEnd"/>
      <w:r>
        <w:t xml:space="preserve"> </w:t>
      </w:r>
      <w:proofErr w:type="spellStart"/>
      <w:r>
        <w:t>demods</w:t>
      </w:r>
      <w:proofErr w:type="spellEnd"/>
      <w:r>
        <w:t xml:space="preserve">: </w:t>
      </w:r>
      <w:hyperlink r:id="rId12" w:history="1">
        <w:r w:rsidRPr="00B2512B">
          <w:rPr>
            <w:rStyle w:val="Hyperlink"/>
          </w:rPr>
          <w:t>LIGO-T1000453</w:t>
        </w:r>
      </w:hyperlink>
    </w:p>
    <w:p w14:paraId="7CB1E0AD" w14:textId="462C2C25" w:rsidR="00B2512B" w:rsidRDefault="00B2512B" w:rsidP="007313B9">
      <w:r>
        <w:t xml:space="preserve">Modifications for 2-ch units: </w:t>
      </w:r>
      <w:hyperlink r:id="rId13" w:history="1">
        <w:r w:rsidRPr="00B2512B">
          <w:rPr>
            <w:rStyle w:val="Hyperlink"/>
          </w:rPr>
          <w:t>LIGO-E1100044</w:t>
        </w:r>
      </w:hyperlink>
    </w:p>
    <w:p w14:paraId="27A6513F" w14:textId="0679A719" w:rsidR="00B2512B" w:rsidRPr="00FE3211" w:rsidRDefault="00B2512B" w:rsidP="007313B9">
      <w:r>
        <w:t xml:space="preserve">PFD assembly: </w:t>
      </w:r>
      <w:hyperlink r:id="rId14" w:history="1">
        <w:r w:rsidRPr="00B2512B">
          <w:rPr>
            <w:rStyle w:val="Hyperlink"/>
          </w:rPr>
          <w:t>LIGO-D1002476</w:t>
        </w:r>
      </w:hyperlink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608340DC" w:rsidR="007313B9" w:rsidRPr="007E6ACE" w:rsidRDefault="00B2512B" w:rsidP="007313B9">
      <w:proofErr w:type="gramStart"/>
      <w:r>
        <w:t>None.</w:t>
      </w:r>
      <w:proofErr w:type="gramEnd"/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112E247B" w14:textId="323A4286" w:rsidR="002E6071" w:rsidRPr="002E6071" w:rsidRDefault="002E6071" w:rsidP="002E6071">
      <w:pPr>
        <w:rPr>
          <w:i/>
        </w:rPr>
      </w:pPr>
      <w:r w:rsidRPr="002E6071">
        <w:rPr>
          <w:i/>
        </w:rPr>
        <w:t>Test procedures:</w:t>
      </w:r>
    </w:p>
    <w:p w14:paraId="0016DF3B" w14:textId="161ED88D" w:rsidR="002E6071" w:rsidRDefault="002E6071" w:rsidP="00E2392E">
      <w:r>
        <w:t xml:space="preserve">I/Q </w:t>
      </w:r>
      <w:proofErr w:type="spellStart"/>
      <w:r>
        <w:t>demods</w:t>
      </w:r>
      <w:proofErr w:type="spellEnd"/>
      <w:r>
        <w:t>:</w:t>
      </w:r>
      <w:r w:rsidR="0083744A">
        <w:t xml:space="preserve"> </w:t>
      </w:r>
      <w:hyperlink r:id="rId15" w:history="1">
        <w:r w:rsidR="0083744A" w:rsidRPr="0083744A">
          <w:rPr>
            <w:rStyle w:val="Hyperlink"/>
          </w:rPr>
          <w:t>LIGO-T1100062</w:t>
        </w:r>
      </w:hyperlink>
    </w:p>
    <w:p w14:paraId="2D656D56" w14:textId="4B904D35" w:rsidR="00DB65B7" w:rsidRDefault="00DB65B7" w:rsidP="00E2392E">
      <w:r>
        <w:t xml:space="preserve">2-ch version: </w:t>
      </w:r>
      <w:hyperlink r:id="rId16" w:history="1">
        <w:r w:rsidRPr="00DB65B7">
          <w:rPr>
            <w:rStyle w:val="Hyperlink"/>
          </w:rPr>
          <w:t>LIGO-E1100114</w:t>
        </w:r>
      </w:hyperlink>
    </w:p>
    <w:p w14:paraId="7B9B03DB" w14:textId="2291C01C" w:rsidR="002E6071" w:rsidRDefault="002E6071" w:rsidP="00E2392E">
      <w:r>
        <w:t xml:space="preserve">PFD: </w:t>
      </w:r>
      <w:hyperlink r:id="rId17" w:history="1">
        <w:r w:rsidRPr="002E6071">
          <w:rPr>
            <w:rStyle w:val="Hyperlink"/>
          </w:rPr>
          <w:t>LIGO-E1100102</w:t>
        </w:r>
      </w:hyperlink>
    </w:p>
    <w:p w14:paraId="4C472F25" w14:textId="2A80F1AC" w:rsidR="00E2392E" w:rsidRDefault="00D12631" w:rsidP="00E2392E">
      <w:pPr>
        <w:rPr>
          <w:i/>
        </w:rPr>
      </w:pPr>
      <w:r>
        <w:rPr>
          <w:i/>
        </w:rPr>
        <w:t>Test reports:</w:t>
      </w:r>
    </w:p>
    <w:p w14:paraId="4638335C" w14:textId="555E2224" w:rsidR="0041715C" w:rsidRDefault="0041715C" w:rsidP="00E2392E">
      <w:r>
        <w:t xml:space="preserve">4-ch I/Q </w:t>
      </w:r>
      <w:proofErr w:type="spellStart"/>
      <w:r>
        <w:t>demods</w:t>
      </w:r>
      <w:proofErr w:type="spellEnd"/>
      <w:r>
        <w:t>: test reports are filed in the S-number file card for each serial number (using form F1100004).</w:t>
      </w:r>
    </w:p>
    <w:p w14:paraId="041165F4" w14:textId="0BCFA2EA" w:rsidR="00D12631" w:rsidRDefault="0041715C" w:rsidP="00E2392E">
      <w:r>
        <w:t xml:space="preserve">2-ch I/Q </w:t>
      </w:r>
      <w:proofErr w:type="spellStart"/>
      <w:r>
        <w:t>demod</w:t>
      </w:r>
      <w:proofErr w:type="spellEnd"/>
      <w:r>
        <w:t xml:space="preserve"> (all units): </w:t>
      </w:r>
      <w:hyperlink r:id="rId18" w:history="1">
        <w:r w:rsidRPr="0041715C">
          <w:rPr>
            <w:rStyle w:val="Hyperlink"/>
          </w:rPr>
          <w:t>LIGO-E1200074</w:t>
        </w:r>
      </w:hyperlink>
    </w:p>
    <w:p w14:paraId="37A9AE4B" w14:textId="6BD42FBC" w:rsidR="0041715C" w:rsidRPr="00D12631" w:rsidRDefault="0041715C" w:rsidP="00E2392E">
      <w:r>
        <w:t xml:space="preserve">PFD (all units): </w:t>
      </w:r>
      <w:hyperlink r:id="rId19" w:history="1">
        <w:r w:rsidRPr="0041715C">
          <w:rPr>
            <w:rStyle w:val="Hyperlink"/>
          </w:rPr>
          <w:t>LIGO-E1100977</w:t>
        </w:r>
      </w:hyperlink>
    </w:p>
    <w:p w14:paraId="61E873EF" w14:textId="77777777" w:rsidR="00223FBC" w:rsidRPr="00223FBC" w:rsidRDefault="00223FBC" w:rsidP="00223FBC">
      <w:pPr>
        <w:pStyle w:val="Heading1"/>
      </w:pPr>
      <w:r w:rsidRPr="00810FE9">
        <w:t>User interface software</w:t>
      </w:r>
    </w:p>
    <w:p w14:paraId="2DB47B55" w14:textId="07177EC9" w:rsidR="00E2392E" w:rsidRPr="00FE3211" w:rsidRDefault="00FE3211" w:rsidP="00E2392E">
      <w:r>
        <w:t>Not applicable.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67FB37AC" w:rsidR="00223FBC" w:rsidRPr="00630815" w:rsidRDefault="00630815" w:rsidP="00223FBC">
      <w:r>
        <w:t>Not applicable.</w:t>
      </w:r>
    </w:p>
    <w:p w14:paraId="0412AE3B" w14:textId="77777777" w:rsidR="00223FBC" w:rsidRDefault="00CB2AD5" w:rsidP="00223FBC">
      <w:pPr>
        <w:pStyle w:val="Heading1"/>
      </w:pPr>
      <w:r>
        <w:lastRenderedPageBreak/>
        <w:t xml:space="preserve"> </w:t>
      </w:r>
      <w:r w:rsidR="00223FBC" w:rsidRPr="00223FBC">
        <w:t>Safety</w:t>
      </w:r>
    </w:p>
    <w:p w14:paraId="502BB62D" w14:textId="2371B08B" w:rsidR="00223FBC" w:rsidRPr="00AD334E" w:rsidRDefault="003337E8" w:rsidP="00223FBC">
      <w:pPr>
        <w:rPr>
          <w:i/>
        </w:rPr>
      </w:pPr>
      <w:r>
        <w:t xml:space="preserve">All ISC electronics is in conformance with the LIGO </w:t>
      </w:r>
      <w:hyperlink r:id="rId20" w:history="1">
        <w:r w:rsidRPr="003337E8">
          <w:rPr>
            <w:rStyle w:val="Hyperlink"/>
          </w:rPr>
          <w:t>EEIP</w:t>
        </w:r>
      </w:hyperlink>
      <w:bookmarkStart w:id="0" w:name="_GoBack"/>
      <w:bookmarkEnd w:id="0"/>
      <w:r>
        <w:t xml:space="preserve"> (Electrical Equipment Inspection Program).  This program was implemented to protect personnel from electrical hazards.</w:t>
      </w:r>
      <w:r w:rsidR="00223FBC" w:rsidRPr="00223FBC">
        <w:rPr>
          <w:i/>
        </w:rPr>
        <w:t xml:space="preserve"> </w:t>
      </w:r>
    </w:p>
    <w:sectPr w:rsidR="00223FBC" w:rsidRPr="00AD334E"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4FD3" w14:textId="77777777" w:rsidR="00870F6E" w:rsidRDefault="00870F6E">
      <w:r>
        <w:separator/>
      </w:r>
    </w:p>
  </w:endnote>
  <w:endnote w:type="continuationSeparator" w:id="0">
    <w:p w14:paraId="15FF42FC" w14:textId="77777777" w:rsidR="00870F6E" w:rsidRDefault="0087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859A" w14:textId="77777777" w:rsidR="00BC0AE7" w:rsidRDefault="00BC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BC0AE7" w:rsidRDefault="00BC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1A22F" w14:textId="77777777" w:rsidR="00BC0AE7" w:rsidRDefault="00BC0AE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C76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67BF4A" w14:textId="77777777" w:rsidR="00BC0AE7" w:rsidRDefault="00BC0A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EAA9" w14:textId="77777777" w:rsidR="00870F6E" w:rsidRDefault="00870F6E">
      <w:r>
        <w:separator/>
      </w:r>
    </w:p>
  </w:footnote>
  <w:footnote w:type="continuationSeparator" w:id="0">
    <w:p w14:paraId="27CB9BF3" w14:textId="77777777" w:rsidR="00870F6E" w:rsidRDefault="0087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80F3" w14:textId="4E302847" w:rsidR="00BC0AE7" w:rsidRDefault="00BC0AE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LIGO-E1300827-v</w:t>
    </w:r>
    <w:r w:rsidR="003337E8">
      <w:rPr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460F" w14:textId="77777777" w:rsidR="00BC0AE7" w:rsidRDefault="00BC0AE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70F6E"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CA5183"/>
    <w:multiLevelType w:val="hybridMultilevel"/>
    <w:tmpl w:val="E8E8C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BD4CC4"/>
    <w:multiLevelType w:val="hybridMultilevel"/>
    <w:tmpl w:val="50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F3028"/>
    <w:multiLevelType w:val="hybridMultilevel"/>
    <w:tmpl w:val="3FF86F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5129651E"/>
    <w:multiLevelType w:val="hybridMultilevel"/>
    <w:tmpl w:val="0A46673E"/>
    <w:lvl w:ilvl="0" w:tplc="5E401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4"/>
  </w:num>
  <w:num w:numId="9">
    <w:abstractNumId w:val="15"/>
  </w:num>
  <w:num w:numId="10">
    <w:abstractNumId w:val="2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9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8"/>
  </w:num>
  <w:num w:numId="23">
    <w:abstractNumId w:val="18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13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11"/>
  </w:num>
  <w:num w:numId="35">
    <w:abstractNumId w:val="12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462DF"/>
    <w:rsid w:val="0005630C"/>
    <w:rsid w:val="000D7FE6"/>
    <w:rsid w:val="001658F6"/>
    <w:rsid w:val="001956C3"/>
    <w:rsid w:val="001B3B66"/>
    <w:rsid w:val="00223FBC"/>
    <w:rsid w:val="00255B4C"/>
    <w:rsid w:val="002D261B"/>
    <w:rsid w:val="002E6071"/>
    <w:rsid w:val="003337E8"/>
    <w:rsid w:val="003562C3"/>
    <w:rsid w:val="0036226E"/>
    <w:rsid w:val="003A08DA"/>
    <w:rsid w:val="003D4D8F"/>
    <w:rsid w:val="003F2D24"/>
    <w:rsid w:val="004040E9"/>
    <w:rsid w:val="0041715C"/>
    <w:rsid w:val="00424C1D"/>
    <w:rsid w:val="004349B8"/>
    <w:rsid w:val="00447419"/>
    <w:rsid w:val="00470D0C"/>
    <w:rsid w:val="004B1994"/>
    <w:rsid w:val="004C1454"/>
    <w:rsid w:val="004D2405"/>
    <w:rsid w:val="0054334E"/>
    <w:rsid w:val="00563A05"/>
    <w:rsid w:val="0057409D"/>
    <w:rsid w:val="005B3401"/>
    <w:rsid w:val="005E13FE"/>
    <w:rsid w:val="005F48B2"/>
    <w:rsid w:val="0060173C"/>
    <w:rsid w:val="00611E22"/>
    <w:rsid w:val="006169EE"/>
    <w:rsid w:val="006221E4"/>
    <w:rsid w:val="00630815"/>
    <w:rsid w:val="00641C43"/>
    <w:rsid w:val="006436BC"/>
    <w:rsid w:val="006E77EF"/>
    <w:rsid w:val="007313B9"/>
    <w:rsid w:val="00740D5B"/>
    <w:rsid w:val="00764EE3"/>
    <w:rsid w:val="007670A3"/>
    <w:rsid w:val="00776291"/>
    <w:rsid w:val="0078145B"/>
    <w:rsid w:val="007B6CA9"/>
    <w:rsid w:val="007D6DE6"/>
    <w:rsid w:val="007E6ACE"/>
    <w:rsid w:val="00832753"/>
    <w:rsid w:val="00837145"/>
    <w:rsid w:val="0083744A"/>
    <w:rsid w:val="00870F6E"/>
    <w:rsid w:val="008A0585"/>
    <w:rsid w:val="008E6A3D"/>
    <w:rsid w:val="008E7496"/>
    <w:rsid w:val="008F0ADD"/>
    <w:rsid w:val="009022BF"/>
    <w:rsid w:val="00926C04"/>
    <w:rsid w:val="0093103C"/>
    <w:rsid w:val="00A34ABF"/>
    <w:rsid w:val="00A367B4"/>
    <w:rsid w:val="00A44B7F"/>
    <w:rsid w:val="00AA4301"/>
    <w:rsid w:val="00AD334E"/>
    <w:rsid w:val="00B2512B"/>
    <w:rsid w:val="00B8062A"/>
    <w:rsid w:val="00BC0AE7"/>
    <w:rsid w:val="00BC37C2"/>
    <w:rsid w:val="00BF7F56"/>
    <w:rsid w:val="00C310C6"/>
    <w:rsid w:val="00CB2AD5"/>
    <w:rsid w:val="00CC3B9F"/>
    <w:rsid w:val="00D12631"/>
    <w:rsid w:val="00D81C76"/>
    <w:rsid w:val="00DB65B7"/>
    <w:rsid w:val="00E21E19"/>
    <w:rsid w:val="00E2392E"/>
    <w:rsid w:val="00E271E7"/>
    <w:rsid w:val="00E66298"/>
    <w:rsid w:val="00E82C49"/>
    <w:rsid w:val="00F5292B"/>
    <w:rsid w:val="00F57558"/>
    <w:rsid w:val="00F65452"/>
    <w:rsid w:val="00FB3DAE"/>
    <w:rsid w:val="00FD295E"/>
    <w:rsid w:val="00FE321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cc.ligo.org/LIGO-E1100044" TargetMode="External"/><Relationship Id="rId18" Type="http://schemas.openxmlformats.org/officeDocument/2006/relationships/hyperlink" Target="https://dcc.ligo.org/LIGO-E120007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cc.ligo.org/LIGO-T1000453" TargetMode="External"/><Relationship Id="rId17" Type="http://schemas.openxmlformats.org/officeDocument/2006/relationships/hyperlink" Target="https://dcc.ligo.org/LIGO-E110010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100114" TargetMode="External"/><Relationship Id="rId20" Type="http://schemas.openxmlformats.org/officeDocument/2006/relationships/hyperlink" Target="https://galaxy.ligo.caltech.edu/EEIF/htm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c.ligo.org/LIGO-E100045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cc.ligo.org/LIGO-T110006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cc.ligo.org/LIGO-E1100044" TargetMode="External"/><Relationship Id="rId19" Type="http://schemas.openxmlformats.org/officeDocument/2006/relationships/hyperlink" Target="https://dcc.ligo.org/LIGO-E11009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T1000044" TargetMode="External"/><Relationship Id="rId14" Type="http://schemas.openxmlformats.org/officeDocument/2006/relationships/hyperlink" Target="https://dcc.ligo.org/LIGO-D1002476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E7BE4-62B9-4814-A57E-2A69F2B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Rich Abbott</cp:lastModifiedBy>
  <cp:revision>2</cp:revision>
  <cp:lastPrinted>2013-11-08T14:17:00Z</cp:lastPrinted>
  <dcterms:created xsi:type="dcterms:W3CDTF">2014-02-19T00:17:00Z</dcterms:created>
  <dcterms:modified xsi:type="dcterms:W3CDTF">2014-02-19T00:17:00Z</dcterms:modified>
</cp:coreProperties>
</file>