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5C9987D" w:rsidR="00380849" w:rsidRPr="00380849" w:rsidRDefault="00380849" w:rsidP="003B5D98">
      <w:pPr>
        <w:pStyle w:val="BodyText"/>
      </w:pPr>
      <w:r>
        <w:t xml:space="preserve">This installation covers the </w:t>
      </w:r>
      <w:r w:rsidR="001739D8">
        <w:t>HAM chamber LHAM5</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66CB3355" w:rsidR="003B5D98" w:rsidRPr="00664863" w:rsidRDefault="00BC07BB" w:rsidP="000A393A">
            <w:pPr>
              <w:pStyle w:val="BodyText"/>
              <w:rPr>
                <w:b/>
              </w:rPr>
            </w:pPr>
            <w:r>
              <w:rPr>
                <w:b/>
              </w:rPr>
              <w:t>LHAM</w:t>
            </w:r>
            <w:r w:rsidR="002463C5">
              <w:rPr>
                <w:b/>
              </w:rPr>
              <w:t>1</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5CE5E832" w14:textId="44EA3473" w:rsidR="00054C90" w:rsidRDefault="002651A0" w:rsidP="002043EC">
            <w:pPr>
              <w:pStyle w:val="BodyText"/>
            </w:pPr>
            <w:r>
              <w:t xml:space="preserve">L1-ISC-C1, L1-ISC-C2, L1-ISC-C3, L1-ISC-C4, L1-SEI-C1, </w:t>
            </w:r>
            <w:r w:rsidR="001739D8" w:rsidRPr="00861084">
              <w:t>L1-</w:t>
            </w:r>
            <w:r w:rsidR="00054C90">
              <w:t>ISC</w:t>
            </w:r>
            <w:r w:rsidR="001739D8" w:rsidRPr="00861084">
              <w:t>-R</w:t>
            </w:r>
            <w:r w:rsidR="00682ED2">
              <w:t>1,</w:t>
            </w:r>
            <w:r w:rsidR="003D099E" w:rsidRPr="00861084">
              <w:t xml:space="preserve"> L1-</w:t>
            </w:r>
            <w:r w:rsidR="00682ED2">
              <w:t>ISC-R2,</w:t>
            </w:r>
            <w:r w:rsidR="002043EC">
              <w:t xml:space="preserve"> L1-ISC-R4</w:t>
            </w:r>
            <w:r>
              <w:t>.</w:t>
            </w:r>
          </w:p>
          <w:p w14:paraId="6239C5AE" w14:textId="23767F6C" w:rsidR="007C5469" w:rsidRPr="00861084" w:rsidRDefault="007C5469" w:rsidP="002463C5">
            <w:pPr>
              <w:pStyle w:val="BodyText"/>
            </w:pPr>
            <w:r w:rsidRPr="00861084">
              <w:t>Note that the Capacitive Position Sensor readout boxes</w:t>
            </w:r>
            <w:r w:rsidR="00054C90">
              <w:t>,</w:t>
            </w:r>
            <w:r w:rsidRPr="00861084">
              <w:t xml:space="preserve"> which sit on </w:t>
            </w:r>
            <w:r w:rsidR="002463C5">
              <w:t>shelves near the HAM chamber</w:t>
            </w:r>
            <w:r w:rsidR="00682ED2">
              <w:t>s</w:t>
            </w:r>
            <w:r w:rsidR="002463C5">
              <w:t xml:space="preserve"> do not have an official designation.</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18213734" w:rsidR="003B5D98" w:rsidRPr="00861084" w:rsidRDefault="00CE7C28" w:rsidP="00861084">
            <w:pPr>
              <w:pStyle w:val="BodyText"/>
            </w:pPr>
            <w:r>
              <w:t>L1-ISC</w:t>
            </w:r>
            <w:r w:rsidR="00861084" w:rsidRPr="00861084">
              <w:t>H</w:t>
            </w:r>
            <w:r w:rsidR="00025545">
              <w:t>T1</w:t>
            </w:r>
            <w:bookmarkStart w:id="0" w:name="_GoBack"/>
            <w:bookmarkEnd w:id="0"/>
            <w:r w:rsidR="00025545">
              <w:t>L</w:t>
            </w:r>
            <w:r w:rsidR="000259F7">
              <w:t xml:space="preserve"> drawing at </w:t>
            </w:r>
            <w:hyperlink r:id="rId9" w:history="1">
              <w:r w:rsidR="00025545">
                <w:rPr>
                  <w:rStyle w:val="Hyperlink"/>
                  <w:bdr w:val="none" w:sz="0" w:space="0" w:color="auto"/>
                </w:rPr>
                <w:t>D1201103</w:t>
              </w:r>
            </w:hyperlink>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0"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3839B395" w14:textId="79FF292E" w:rsidR="00D3113E" w:rsidRDefault="00F211FB" w:rsidP="00DF6D9E">
            <w:pPr>
              <w:pStyle w:val="BodyText"/>
            </w:pPr>
            <w:hyperlink r:id="rId11" w:tooltip="LIGO-E1200444-v5" w:history="1">
              <w:r w:rsidR="00025545">
                <w:rPr>
                  <w:rStyle w:val="Hyperlink"/>
                </w:rPr>
                <w:t>E1200088</w:t>
              </w:r>
            </w:hyperlink>
            <w:r w:rsidR="00803919">
              <w:rPr>
                <w:bdr w:val="none" w:sz="0" w:space="0" w:color="auto" w:frame="1"/>
              </w:rPr>
              <w:t xml:space="preserve"> </w:t>
            </w:r>
            <w:r w:rsidR="007B7DA2" w:rsidRPr="00DF6D9E">
              <w:t>w</w:t>
            </w:r>
            <w:r w:rsidR="00380849" w:rsidRPr="00DF6D9E">
              <w:t>as the procedure</w:t>
            </w:r>
            <w:r w:rsidR="0000359E">
              <w:t xml:space="preserve"> to </w:t>
            </w:r>
            <w:r w:rsidR="00025545">
              <w:t>re-install the passive stack</w:t>
            </w:r>
            <w:r w:rsidR="0000359E">
              <w:t>.</w:t>
            </w:r>
          </w:p>
          <w:p w14:paraId="07D91C69" w14:textId="2E6147F9" w:rsidR="002043EC" w:rsidRPr="00DF6D9E" w:rsidRDefault="00F211FB" w:rsidP="009E70B8">
            <w:pPr>
              <w:pStyle w:val="BodyText"/>
            </w:pPr>
            <w:hyperlink r:id="rId12" w:history="1">
              <w:r w:rsidR="009E70B8">
                <w:rPr>
                  <w:rStyle w:val="Hyperlink"/>
                  <w:bdr w:val="none" w:sz="0" w:space="0" w:color="auto"/>
                </w:rPr>
                <w:t>E1200092</w:t>
              </w:r>
            </w:hyperlink>
            <w:r w:rsidR="00803919">
              <w:t xml:space="preserve"> was the hazard analysis</w:t>
            </w:r>
            <w:r w:rsidR="0000359E">
              <w:t xml:space="preserve"> for the </w:t>
            </w:r>
            <w:r w:rsidR="009E70B8">
              <w:t>passive stack re-i</w:t>
            </w:r>
            <w:r w:rsidR="0000359E">
              <w:t>nstall</w:t>
            </w:r>
            <w:r w:rsidR="00803919">
              <w:t>.</w:t>
            </w:r>
          </w:p>
        </w:tc>
      </w:tr>
      <w:tr w:rsidR="00D3113E" w14:paraId="43510EEA" w14:textId="77777777" w:rsidTr="00130874">
        <w:tc>
          <w:tcPr>
            <w:tcW w:w="3870" w:type="dxa"/>
            <w:shd w:val="clear" w:color="auto" w:fill="auto"/>
          </w:tcPr>
          <w:p w14:paraId="06B6962D" w14:textId="18AB32F3"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w:t>
            </w:r>
            <w:r w:rsidRPr="00130874">
              <w:rPr>
                <w:sz w:val="18"/>
              </w:rPr>
              <w:lastRenderedPageBreak/>
              <w:t>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110C97D" w14:textId="52ACB15E" w:rsidR="00FC717B" w:rsidRDefault="00FC717B" w:rsidP="0000359E">
            <w:pPr>
              <w:pStyle w:val="BodyText"/>
            </w:pPr>
            <w:r w:rsidRPr="00DF6D9E">
              <w:lastRenderedPageBreak/>
              <w:t>T</w:t>
            </w:r>
            <w:r w:rsidR="00D2438C" w:rsidRPr="00DF6D9E">
              <w:t xml:space="preserve">he installation of </w:t>
            </w:r>
            <w:r w:rsidR="002043EC">
              <w:t>the passive stack</w:t>
            </w:r>
            <w:r w:rsidR="0000359E">
              <w:t xml:space="preserve"> was recorded in </w:t>
            </w:r>
            <w:proofErr w:type="spellStart"/>
            <w:r w:rsidR="0000359E">
              <w:t>aLOG</w:t>
            </w:r>
            <w:proofErr w:type="spellEnd"/>
            <w:r w:rsidR="0000359E">
              <w:t xml:space="preserve"> </w:t>
            </w:r>
            <w:hyperlink r:id="rId13" w:history="1">
              <w:r w:rsidR="002043EC">
                <w:rPr>
                  <w:rStyle w:val="Hyperlink"/>
                  <w:bdr w:val="none" w:sz="0" w:space="0" w:color="auto"/>
                </w:rPr>
                <w:t>#6369</w:t>
              </w:r>
            </w:hyperlink>
            <w:r w:rsidR="0000359E">
              <w:t xml:space="preserve">. </w:t>
            </w:r>
          </w:p>
          <w:p w14:paraId="4C4BDCE4" w14:textId="3FE4D0E2" w:rsidR="00811949" w:rsidRDefault="00F211FB" w:rsidP="0000359E">
            <w:pPr>
              <w:pStyle w:val="BodyText"/>
            </w:pPr>
            <w:hyperlink r:id="rId14" w:history="1">
              <w:r w:rsidR="002043EC" w:rsidRPr="002043EC">
                <w:rPr>
                  <w:rStyle w:val="Hyperlink"/>
                  <w:bdr w:val="none" w:sz="0" w:space="0" w:color="auto"/>
                </w:rPr>
                <w:t>E1200088</w:t>
              </w:r>
            </w:hyperlink>
            <w:r w:rsidR="002043EC">
              <w:t xml:space="preserve"> has redlines accruing from this </w:t>
            </w:r>
            <w:r w:rsidR="002043EC">
              <w:lastRenderedPageBreak/>
              <w:t xml:space="preserve">installation. </w:t>
            </w:r>
            <w:hyperlink r:id="rId15" w:history="1">
              <w:r w:rsidR="002043EC" w:rsidRPr="002043EC">
                <w:rPr>
                  <w:rStyle w:val="Hyperlink"/>
                  <w:bdr w:val="none" w:sz="0" w:space="0" w:color="auto"/>
                </w:rPr>
                <w:t>D1200428</w:t>
              </w:r>
            </w:hyperlink>
            <w:r w:rsidR="002043EC">
              <w:t xml:space="preserve"> and </w:t>
            </w:r>
            <w:hyperlink r:id="rId16" w:history="1">
              <w:r w:rsidR="002043EC" w:rsidRPr="002043EC">
                <w:rPr>
                  <w:rStyle w:val="Hyperlink"/>
                  <w:bdr w:val="none" w:sz="0" w:space="0" w:color="auto"/>
                </w:rPr>
                <w:t>D0901809</w:t>
              </w:r>
            </w:hyperlink>
            <w:r w:rsidR="002043EC">
              <w:t xml:space="preserve"> </w:t>
            </w:r>
          </w:p>
          <w:p w14:paraId="7A26F34F" w14:textId="30A36CCA" w:rsidR="0000359E" w:rsidRPr="00DF6D9E" w:rsidRDefault="0000359E" w:rsidP="0000359E">
            <w:pPr>
              <w:pStyle w:val="BodyText"/>
              <w:rPr>
                <w:color w:val="0044B3"/>
                <w:u w:val="single"/>
              </w:rPr>
            </w:pPr>
          </w:p>
        </w:tc>
      </w:tr>
      <w:tr w:rsidR="00D3113E" w14:paraId="5A2C0A73" w14:textId="77777777" w:rsidTr="00130874">
        <w:tc>
          <w:tcPr>
            <w:tcW w:w="3870" w:type="dxa"/>
            <w:shd w:val="clear" w:color="auto" w:fill="auto"/>
          </w:tcPr>
          <w:p w14:paraId="17B61288" w14:textId="1565EEDF"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7"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22C2DAD2" w:rsidR="00D3113E" w:rsidRPr="002157DD" w:rsidRDefault="00F211FB" w:rsidP="00421C60">
            <w:pPr>
              <w:pStyle w:val="BodyText"/>
            </w:pPr>
            <w:hyperlink r:id="rId18" w:tooltip="LIGO-E1100784-v4" w:history="1">
              <w:r w:rsidR="00421C60">
                <w:rPr>
                  <w:rStyle w:val="Hyperlink"/>
                </w:rPr>
                <w:t>E1100782</w:t>
              </w:r>
            </w:hyperlink>
            <w:r w:rsidR="007B7DA2" w:rsidRPr="002157DD">
              <w:t xml:space="preserve"> </w:t>
            </w:r>
            <w:r w:rsidR="00380849" w:rsidRPr="002157DD">
              <w:t>was the initial procedure</w:t>
            </w:r>
            <w:r w:rsidR="00805883">
              <w:t xml:space="preserve">. This is just an empty file card since there are no suspensions on </w:t>
            </w:r>
            <w:r w:rsidR="00E02645">
              <w:t>this table to align</w:t>
            </w:r>
            <w:r w:rsidR="00421C60">
              <w:t>.</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43D9C9EB" w:rsidR="006B6E19" w:rsidRPr="002157DD" w:rsidRDefault="00421C60" w:rsidP="00D3113E">
            <w:pPr>
              <w:pStyle w:val="BodyText"/>
            </w:pPr>
            <w:r>
              <w:t>Components</w:t>
            </w:r>
            <w:r w:rsidR="00CE7C28">
              <w:t xml:space="preserve"> on the table were aligned using interferometer beams.</w:t>
            </w:r>
          </w:p>
          <w:p w14:paraId="5614A00F" w14:textId="62BB8EBA" w:rsidR="00FE4641" w:rsidRPr="002157DD" w:rsidRDefault="00FE4641" w:rsidP="002157DD">
            <w:pPr>
              <w:pStyle w:val="BodyText"/>
              <w:spacing w:after="0"/>
              <w:rPr>
                <w:color w:val="0044B3"/>
                <w:u w:val="single"/>
              </w:rPr>
            </w:pP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19"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0"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6B251832" w:rsidR="007B21AC" w:rsidRPr="002157DD" w:rsidRDefault="00F211FB" w:rsidP="007D5348">
            <w:pPr>
              <w:rPr>
                <w:sz w:val="24"/>
                <w:szCs w:val="24"/>
              </w:rPr>
            </w:pPr>
            <w:hyperlink r:id="rId21" w:history="1">
              <w:r w:rsidR="005A4984" w:rsidRPr="002157DD">
                <w:rPr>
                  <w:rStyle w:val="Hyperlink"/>
                  <w:sz w:val="24"/>
                  <w:szCs w:val="24"/>
                  <w:bdr w:val="none" w:sz="0" w:space="0" w:color="auto"/>
                </w:rPr>
                <w:t>D0901466</w:t>
              </w:r>
            </w:hyperlink>
            <w:r w:rsidR="005A4984" w:rsidRPr="002157DD">
              <w:rPr>
                <w:sz w:val="24"/>
                <w:szCs w:val="24"/>
              </w:rPr>
              <w:t xml:space="preserve"> aLIGO Systems Layout LLO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23D46AC9" w:rsidR="00FB7E1F" w:rsidRPr="002157DD" w:rsidRDefault="00F211FB" w:rsidP="002157DD">
            <w:pPr>
              <w:rPr>
                <w:sz w:val="24"/>
                <w:szCs w:val="24"/>
              </w:rPr>
            </w:pPr>
            <w:hyperlink r:id="rId22" w:tooltip="D0901811" w:history="1">
              <w:r w:rsidR="00421C60">
                <w:rPr>
                  <w:rStyle w:val="Hyperlink"/>
                  <w:sz w:val="24"/>
                  <w:szCs w:val="24"/>
                </w:rPr>
                <w:t>D0901809</w:t>
              </w:r>
            </w:hyperlink>
            <w:r w:rsidR="00C83ECD" w:rsidRPr="002157DD">
              <w:rPr>
                <w:sz w:val="24"/>
                <w:szCs w:val="24"/>
              </w:rPr>
              <w:t xml:space="preserve"> aLIGO Systems, L</w:t>
            </w:r>
            <w:r w:rsidR="00421C60">
              <w:rPr>
                <w:sz w:val="24"/>
                <w:szCs w:val="24"/>
              </w:rPr>
              <w:t>HAM1</w:t>
            </w:r>
            <w:r w:rsidR="005A4984" w:rsidRPr="002157DD">
              <w:rPr>
                <w:sz w:val="24"/>
                <w:szCs w:val="24"/>
              </w:rPr>
              <w:t>-L1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6F34D052" w:rsidR="00FB7E1F" w:rsidRPr="002157DD" w:rsidRDefault="003938A5" w:rsidP="00DD7D85">
            <w:pPr>
              <w:pStyle w:val="BodyText"/>
            </w:pPr>
            <w:r w:rsidRPr="002157DD">
              <w:t xml:space="preserve">All drawings for the racks can be found by navigating through </w:t>
            </w:r>
            <w:hyperlink r:id="rId23" w:tooltip="G1001032" w:history="1">
              <w:r w:rsidR="00B225A1" w:rsidRPr="002157DD">
                <w:rPr>
                  <w:rStyle w:val="Hyperlink"/>
                  <w:bdr w:val="none" w:sz="0" w:space="0" w:color="auto"/>
                </w:rPr>
                <w:t>G1001032</w:t>
              </w:r>
            </w:hyperlink>
            <w:r w:rsidR="00B225A1" w:rsidRPr="002157DD">
              <w:t>.</w:t>
            </w:r>
            <w:r w:rsidRPr="002157DD">
              <w:t xml:space="preserve"> </w:t>
            </w:r>
          </w:p>
        </w:tc>
      </w:tr>
      <w:tr w:rsidR="00970F3A" w14:paraId="10315006" w14:textId="77777777" w:rsidTr="00130874">
        <w:tc>
          <w:tcPr>
            <w:tcW w:w="3870" w:type="dxa"/>
            <w:shd w:val="clear" w:color="auto" w:fill="auto"/>
          </w:tcPr>
          <w:p w14:paraId="0CFF323B" w14:textId="77777777" w:rsidR="00970F3A" w:rsidRDefault="00970F3A" w:rsidP="003B5D98">
            <w:pPr>
              <w:pStyle w:val="BodyText"/>
            </w:pPr>
            <w:r>
              <w:t>Optics Table/Enclosure Drawing(s):</w:t>
            </w:r>
          </w:p>
        </w:tc>
        <w:tc>
          <w:tcPr>
            <w:tcW w:w="5310" w:type="dxa"/>
            <w:shd w:val="clear" w:color="auto" w:fill="auto"/>
          </w:tcPr>
          <w:p w14:paraId="3536BE5A" w14:textId="7DF62B06" w:rsidR="00970F3A" w:rsidRPr="002157DD" w:rsidRDefault="00970F3A" w:rsidP="00056110">
            <w:pPr>
              <w:pStyle w:val="BodyText"/>
            </w:pPr>
            <w:r>
              <w:t>L1-ISC</w:t>
            </w:r>
            <w:r w:rsidRPr="00861084">
              <w:t>H</w:t>
            </w:r>
            <w:r w:rsidR="00421C60">
              <w:t>T1L</w:t>
            </w:r>
            <w:r>
              <w:t xml:space="preserve"> drawing at </w:t>
            </w:r>
            <w:hyperlink r:id="rId24" w:history="1">
              <w:r w:rsidR="00AB1945">
                <w:rPr>
                  <w:rStyle w:val="Hyperlink"/>
                  <w:bdr w:val="none" w:sz="0" w:space="0" w:color="auto"/>
                </w:rPr>
                <w:t>D1201103</w:t>
              </w:r>
            </w:hyperlink>
          </w:p>
        </w:tc>
      </w:tr>
    </w:tbl>
    <w:p w14:paraId="47D557D2" w14:textId="1A2A3710" w:rsidR="008F1B4C" w:rsidRDefault="008F1B4C" w:rsidP="008F1B4C"/>
    <w:p w14:paraId="608F322F" w14:textId="77777777" w:rsidR="008F1B4C" w:rsidRDefault="008F1B4C">
      <w:r>
        <w:br w:type="page"/>
      </w:r>
    </w:p>
    <w:p w14:paraId="5E05A8D1" w14:textId="77777777" w:rsidR="008F1B4C" w:rsidRPr="008F1B4C" w:rsidRDefault="008F1B4C" w:rsidP="008F1B4C"/>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25"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26"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D819DF" w14:paraId="507807D4" w14:textId="77777777" w:rsidTr="00566196">
        <w:trPr>
          <w:trHeight w:val="972"/>
        </w:trPr>
        <w:tc>
          <w:tcPr>
            <w:tcW w:w="1564" w:type="dxa"/>
            <w:shd w:val="clear" w:color="auto" w:fill="auto"/>
          </w:tcPr>
          <w:p w14:paraId="4191C06A" w14:textId="77777777" w:rsidR="00D819DF" w:rsidRDefault="006500AC" w:rsidP="003B5D98">
            <w:pPr>
              <w:pStyle w:val="BodyText"/>
            </w:pPr>
            <w:r>
              <w:t>Assembly DCC D-Number</w:t>
            </w:r>
            <w:r w:rsidR="00D819DF">
              <w:t xml:space="preserve"> </w:t>
            </w:r>
          </w:p>
        </w:tc>
        <w:tc>
          <w:tcPr>
            <w:tcW w:w="3595" w:type="dxa"/>
            <w:shd w:val="clear" w:color="auto" w:fill="auto"/>
          </w:tcPr>
          <w:p w14:paraId="0F8F7AED" w14:textId="77777777" w:rsidR="00D819DF" w:rsidRDefault="006500AC" w:rsidP="003B5D98">
            <w:pPr>
              <w:pStyle w:val="BodyText"/>
            </w:pPr>
            <w:r>
              <w:t>Assembly Name</w:t>
            </w:r>
          </w:p>
        </w:tc>
        <w:tc>
          <w:tcPr>
            <w:tcW w:w="4069" w:type="dxa"/>
            <w:shd w:val="clear" w:color="auto" w:fill="auto"/>
          </w:tcPr>
          <w:p w14:paraId="0E6B9677" w14:textId="29415902" w:rsidR="006500AC" w:rsidRDefault="006500AC" w:rsidP="006C498B">
            <w:pPr>
              <w:pStyle w:val="BodyText"/>
            </w:pPr>
            <w:r>
              <w:t>ICS entry</w:t>
            </w:r>
            <w:r w:rsidR="004F47C2">
              <w:t xml:space="preserve">. </w:t>
            </w:r>
          </w:p>
        </w:tc>
      </w:tr>
      <w:tr w:rsidR="00D819DF" w14:paraId="29913A01" w14:textId="77777777" w:rsidTr="00566196">
        <w:trPr>
          <w:trHeight w:val="957"/>
        </w:trPr>
        <w:tc>
          <w:tcPr>
            <w:tcW w:w="1564" w:type="dxa"/>
            <w:shd w:val="clear" w:color="auto" w:fill="auto"/>
          </w:tcPr>
          <w:p w14:paraId="27D13D7D" w14:textId="616FAAE8" w:rsidR="00D819DF" w:rsidRDefault="00757114" w:rsidP="00DB5C27">
            <w:pPr>
              <w:pStyle w:val="BodyText"/>
            </w:pPr>
            <w:r>
              <w:t>D0900</w:t>
            </w:r>
            <w:r w:rsidR="00DB5C27">
              <w:t>421</w:t>
            </w:r>
          </w:p>
        </w:tc>
        <w:tc>
          <w:tcPr>
            <w:tcW w:w="3595" w:type="dxa"/>
            <w:shd w:val="clear" w:color="auto" w:fill="auto"/>
          </w:tcPr>
          <w:p w14:paraId="2130A659" w14:textId="739E05BD" w:rsidR="00D819DF" w:rsidRPr="007D62A2" w:rsidRDefault="00757114" w:rsidP="0026605F">
            <w:pPr>
              <w:rPr>
                <w:sz w:val="24"/>
              </w:rPr>
            </w:pPr>
            <w:r>
              <w:rPr>
                <w:sz w:val="24"/>
              </w:rPr>
              <w:t>a</w:t>
            </w:r>
            <w:r w:rsidR="000F26F1">
              <w:rPr>
                <w:sz w:val="24"/>
              </w:rPr>
              <w:t>LIGO Systems, LHAM</w:t>
            </w:r>
            <w:r w:rsidR="001E5AA3">
              <w:rPr>
                <w:sz w:val="24"/>
              </w:rPr>
              <w:t>6</w:t>
            </w:r>
            <w:r w:rsidR="00374719" w:rsidRPr="007D62A2">
              <w:rPr>
                <w:sz w:val="24"/>
              </w:rPr>
              <w:t>-L1 Top Level Chamber Assembly</w:t>
            </w:r>
          </w:p>
        </w:tc>
        <w:tc>
          <w:tcPr>
            <w:tcW w:w="4069" w:type="dxa"/>
            <w:shd w:val="clear" w:color="auto" w:fill="auto"/>
          </w:tcPr>
          <w:p w14:paraId="626A782D" w14:textId="58974C48" w:rsidR="00757114" w:rsidRPr="00E53F86" w:rsidRDefault="00BC07BB" w:rsidP="00B259D2">
            <w:pPr>
              <w:rPr>
                <w:color w:val="0044B3"/>
                <w:sz w:val="24"/>
                <w:szCs w:val="24"/>
                <w:u w:val="single"/>
              </w:rPr>
            </w:pPr>
            <w:r w:rsidRPr="00E53F86">
              <w:rPr>
                <w:sz w:val="24"/>
                <w:szCs w:val="24"/>
              </w:rPr>
              <w:t xml:space="preserve">ICS entry click here </w:t>
            </w:r>
            <w:hyperlink r:id="rId27" w:history="1">
              <w:r w:rsidR="00DC379D">
                <w:rPr>
                  <w:rStyle w:val="Hyperlink"/>
                  <w:sz w:val="24"/>
                  <w:szCs w:val="24"/>
                </w:rPr>
                <w:t>D0901809</w:t>
              </w:r>
            </w:hyperlink>
            <w:r w:rsidR="00CC110C" w:rsidRPr="00E53F86">
              <w:rPr>
                <w:sz w:val="24"/>
                <w:szCs w:val="24"/>
              </w:rPr>
              <w:t xml:space="preserve">. </w:t>
            </w:r>
            <w:r w:rsidR="00B259D2">
              <w:rPr>
                <w:sz w:val="24"/>
                <w:szCs w:val="24"/>
              </w:rPr>
              <w:t xml:space="preserve">This record exists but is misplaced in the </w:t>
            </w:r>
            <w:proofErr w:type="spellStart"/>
            <w:r w:rsidR="00B259D2">
              <w:rPr>
                <w:sz w:val="24"/>
                <w:szCs w:val="24"/>
              </w:rPr>
              <w:t>hierarchial</w:t>
            </w:r>
            <w:proofErr w:type="spellEnd"/>
            <w:r w:rsidR="00B259D2">
              <w:rPr>
                <w:sz w:val="24"/>
                <w:szCs w:val="24"/>
              </w:rPr>
              <w:t xml:space="preserve"> layout</w:t>
            </w:r>
            <w:r w:rsidR="006C498B">
              <w:rPr>
                <w:sz w:val="24"/>
                <w:szCs w:val="24"/>
              </w:rPr>
              <w:t>.</w:t>
            </w:r>
            <w:r w:rsidR="00B259D2">
              <w:rPr>
                <w:sz w:val="24"/>
                <w:szCs w:val="24"/>
              </w:rPr>
              <w:t xml:space="preserve"> You can find it by expanding the “BSC-ISI Unit1” assembly record at the bottom of the tree, and then looking for the boldfaced record (in this case 3</w:t>
            </w:r>
            <w:r w:rsidR="00B259D2" w:rsidRPr="00B259D2">
              <w:rPr>
                <w:sz w:val="24"/>
                <w:szCs w:val="24"/>
                <w:vertAlign w:val="superscript"/>
              </w:rPr>
              <w:t>rd</w:t>
            </w:r>
            <w:r w:rsidR="00B259D2">
              <w:rPr>
                <w:sz w:val="24"/>
                <w:szCs w:val="24"/>
              </w:rPr>
              <w:t xml:space="preserve"> from the bottom). I am unable to verify how much of the installed equipment is in the record since it keeps closing when I try to examine it.</w:t>
            </w:r>
          </w:p>
        </w:tc>
      </w:tr>
      <w:tr w:rsidR="007946CF" w14:paraId="7C8E2B4C" w14:textId="77777777" w:rsidTr="00566196">
        <w:trPr>
          <w:trHeight w:val="683"/>
        </w:trPr>
        <w:tc>
          <w:tcPr>
            <w:tcW w:w="1564" w:type="dxa"/>
            <w:shd w:val="clear" w:color="auto" w:fill="auto"/>
          </w:tcPr>
          <w:p w14:paraId="436B022B" w14:textId="353FDB6A" w:rsidR="006500AC" w:rsidRPr="00374719" w:rsidRDefault="00374719" w:rsidP="006500AC">
            <w:pPr>
              <w:pStyle w:val="BodyText"/>
            </w:pPr>
            <w:r w:rsidRPr="00374719">
              <w:t>D1000513</w:t>
            </w:r>
          </w:p>
        </w:tc>
        <w:tc>
          <w:tcPr>
            <w:tcW w:w="3595" w:type="dxa"/>
            <w:shd w:val="clear" w:color="auto" w:fill="auto"/>
          </w:tcPr>
          <w:p w14:paraId="7B3F023C" w14:textId="0E76CE9F" w:rsidR="006500AC" w:rsidRDefault="00374719" w:rsidP="006500AC">
            <w:pPr>
              <w:pStyle w:val="BodyText"/>
            </w:pPr>
            <w:r>
              <w:t>HEPI</w:t>
            </w:r>
          </w:p>
        </w:tc>
        <w:tc>
          <w:tcPr>
            <w:tcW w:w="4069" w:type="dxa"/>
            <w:shd w:val="clear" w:color="auto" w:fill="auto"/>
          </w:tcPr>
          <w:p w14:paraId="3B45B71A" w14:textId="29C5D7CE" w:rsidR="00DE68B2" w:rsidRPr="00E53F86" w:rsidRDefault="004F47C2" w:rsidP="00B259D2">
            <w:pPr>
              <w:pStyle w:val="BodyText"/>
            </w:pPr>
            <w:r>
              <w:t xml:space="preserve">The aLIGO HEPI assembly is at </w:t>
            </w:r>
            <w:hyperlink r:id="rId28" w:history="1">
              <w:r w:rsidRPr="004F47C2">
                <w:rPr>
                  <w:rStyle w:val="Hyperlink"/>
                  <w:bdr w:val="none" w:sz="0" w:space="0" w:color="auto"/>
                </w:rPr>
                <w:t>D1000514</w:t>
              </w:r>
            </w:hyperlink>
            <w:r w:rsidR="00015BCE">
              <w:t xml:space="preserve">. Note that </w:t>
            </w:r>
            <w:r w:rsidR="00B259D2">
              <w:t>LHAM1 used to be LHAM2 on initial/enhanced LIGO</w:t>
            </w:r>
            <w:r w:rsidR="00015BCE">
              <w:t>.</w:t>
            </w:r>
          </w:p>
        </w:tc>
      </w:tr>
    </w:tbl>
    <w:p w14:paraId="708518F3" w14:textId="793D5157" w:rsidR="008F1B4C" w:rsidRDefault="008F1B4C" w:rsidP="008F1B4C"/>
    <w:p w14:paraId="40665D2F" w14:textId="77777777" w:rsidR="008F1B4C" w:rsidRDefault="008F1B4C">
      <w:r>
        <w:br w:type="page"/>
      </w:r>
    </w:p>
    <w:p w14:paraId="55C171F3" w14:textId="77777777" w:rsidR="008F1B4C" w:rsidRPr="008F1B4C" w:rsidRDefault="008F1B4C" w:rsidP="008F1B4C"/>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29"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30"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3139"/>
        <w:gridCol w:w="1882"/>
      </w:tblGrid>
      <w:tr w:rsidR="003F026B" w14:paraId="7BD7CD70" w14:textId="77777777" w:rsidTr="00C03703">
        <w:tc>
          <w:tcPr>
            <w:tcW w:w="1417" w:type="dxa"/>
            <w:vMerge w:val="restart"/>
            <w:shd w:val="clear" w:color="auto" w:fill="auto"/>
          </w:tcPr>
          <w:p w14:paraId="4156E980" w14:textId="77777777" w:rsidR="004B0ED2" w:rsidRDefault="004B0ED2" w:rsidP="007946CF">
            <w:pPr>
              <w:pStyle w:val="BodyText"/>
              <w:spacing w:after="0"/>
            </w:pPr>
            <w:r>
              <w:t>Subsystem</w:t>
            </w:r>
          </w:p>
        </w:tc>
        <w:tc>
          <w:tcPr>
            <w:tcW w:w="2790" w:type="dxa"/>
            <w:vMerge w:val="restart"/>
            <w:shd w:val="clear" w:color="auto" w:fill="auto"/>
          </w:tcPr>
          <w:p w14:paraId="3E48A0D4" w14:textId="77777777" w:rsidR="004B0ED2" w:rsidRDefault="004B0ED2" w:rsidP="007946CF">
            <w:pPr>
              <w:pStyle w:val="BodyText"/>
              <w:spacing w:after="0"/>
            </w:pPr>
            <w:r>
              <w:t>Testable Item</w:t>
            </w:r>
          </w:p>
        </w:tc>
        <w:tc>
          <w:tcPr>
            <w:tcW w:w="502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C03703">
        <w:tc>
          <w:tcPr>
            <w:tcW w:w="1417" w:type="dxa"/>
            <w:vMerge/>
            <w:shd w:val="clear" w:color="auto" w:fill="auto"/>
          </w:tcPr>
          <w:p w14:paraId="20F14471" w14:textId="77777777" w:rsidR="004B0ED2" w:rsidRDefault="004B0ED2" w:rsidP="00834A15">
            <w:pPr>
              <w:pStyle w:val="BodyText"/>
            </w:pPr>
          </w:p>
        </w:tc>
        <w:tc>
          <w:tcPr>
            <w:tcW w:w="2790" w:type="dxa"/>
            <w:vMerge/>
            <w:shd w:val="clear" w:color="auto" w:fill="auto"/>
          </w:tcPr>
          <w:p w14:paraId="62DB6C1B" w14:textId="77777777" w:rsidR="004B0ED2" w:rsidRDefault="004B0ED2" w:rsidP="00834A15">
            <w:pPr>
              <w:pStyle w:val="BodyText"/>
            </w:pPr>
          </w:p>
        </w:tc>
        <w:tc>
          <w:tcPr>
            <w:tcW w:w="313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092C8D" w14:paraId="787002B8" w14:textId="77777777" w:rsidTr="00843733">
        <w:tc>
          <w:tcPr>
            <w:tcW w:w="1417" w:type="dxa"/>
            <w:shd w:val="clear" w:color="auto" w:fill="auto"/>
          </w:tcPr>
          <w:p w14:paraId="07813456" w14:textId="1332599F" w:rsidR="00CA30E7" w:rsidRDefault="00CA30E7" w:rsidP="00834A15">
            <w:pPr>
              <w:pStyle w:val="BodyText"/>
            </w:pPr>
            <w:r>
              <w:t>SEI</w:t>
            </w:r>
          </w:p>
        </w:tc>
        <w:tc>
          <w:tcPr>
            <w:tcW w:w="2790" w:type="dxa"/>
            <w:shd w:val="clear" w:color="auto" w:fill="auto"/>
          </w:tcPr>
          <w:p w14:paraId="02C178B3" w14:textId="3D519F62" w:rsidR="00CA30E7" w:rsidRPr="00E748E1" w:rsidRDefault="00CA30E7" w:rsidP="00834A15">
            <w:pPr>
              <w:pStyle w:val="BodyText"/>
            </w:pPr>
            <w:r w:rsidRPr="00E748E1">
              <w:t>HEPI</w:t>
            </w:r>
          </w:p>
        </w:tc>
        <w:tc>
          <w:tcPr>
            <w:tcW w:w="3139" w:type="dxa"/>
            <w:tcBorders>
              <w:bottom w:val="single" w:sz="4" w:space="0" w:color="auto"/>
            </w:tcBorders>
            <w:shd w:val="clear" w:color="auto" w:fill="auto"/>
          </w:tcPr>
          <w:p w14:paraId="53401A02" w14:textId="7F5C4E3C" w:rsidR="00CA30E7" w:rsidRPr="00A06BDC" w:rsidRDefault="00CA30E7" w:rsidP="00793DBD">
            <w:pPr>
              <w:pStyle w:val="BodyText"/>
              <w:jc w:val="center"/>
            </w:pPr>
            <w:r w:rsidRPr="00A06BDC">
              <w:t>N/A</w:t>
            </w:r>
          </w:p>
        </w:tc>
        <w:tc>
          <w:tcPr>
            <w:tcW w:w="1882" w:type="dxa"/>
            <w:tcBorders>
              <w:bottom w:val="single" w:sz="4" w:space="0" w:color="auto"/>
            </w:tcBorders>
            <w:shd w:val="clear" w:color="auto" w:fill="auto"/>
          </w:tcPr>
          <w:p w14:paraId="08449939" w14:textId="3962B5D3" w:rsidR="00CA30E7" w:rsidRDefault="00F211FB" w:rsidP="00A06BDC">
            <w:pPr>
              <w:pStyle w:val="BodyText"/>
              <w:jc w:val="center"/>
              <w:rPr>
                <w:rStyle w:val="Hyperlink"/>
              </w:rPr>
            </w:pPr>
            <w:hyperlink r:id="rId31" w:tooltip="E1300927" w:history="1">
              <w:r w:rsidR="00711DEE">
                <w:rPr>
                  <w:rStyle w:val="Hyperlink"/>
                </w:rPr>
                <w:t>E1300922</w:t>
              </w:r>
            </w:hyperlink>
          </w:p>
          <w:p w14:paraId="5D32944C" w14:textId="0E8E790F" w:rsidR="00FC1387" w:rsidRPr="004C7CB5" w:rsidRDefault="00711DEE" w:rsidP="00A06BDC">
            <w:pPr>
              <w:pStyle w:val="BodyText"/>
              <w:jc w:val="center"/>
              <w:rPr>
                <w:b/>
                <w:color w:val="FF0000"/>
                <w:sz w:val="16"/>
                <w:szCs w:val="16"/>
              </w:rPr>
            </w:pPr>
            <w:r>
              <w:rPr>
                <w:b/>
                <w:color w:val="FF0000"/>
                <w:sz w:val="16"/>
                <w:szCs w:val="16"/>
              </w:rPr>
              <w:t>Note: LHAM1</w:t>
            </w:r>
            <w:r w:rsidR="004C7CB5" w:rsidRPr="004C7CB5">
              <w:rPr>
                <w:b/>
                <w:color w:val="FF0000"/>
                <w:sz w:val="16"/>
                <w:szCs w:val="16"/>
              </w:rPr>
              <w:t xml:space="preserve"> HEPI has yet to be commissioned so this record is empty.</w:t>
            </w:r>
          </w:p>
        </w:tc>
      </w:tr>
      <w:tr w:rsidR="00092C8D" w14:paraId="6706EC3D" w14:textId="77777777" w:rsidTr="00C03703">
        <w:tc>
          <w:tcPr>
            <w:tcW w:w="1417" w:type="dxa"/>
            <w:shd w:val="clear" w:color="auto" w:fill="auto"/>
          </w:tcPr>
          <w:p w14:paraId="0836CC13" w14:textId="2C9A25B5" w:rsidR="00B378D6" w:rsidRDefault="00C83ECD" w:rsidP="00834A15">
            <w:pPr>
              <w:pStyle w:val="BodyText"/>
            </w:pPr>
            <w:r>
              <w:t>AOS/SLC/</w:t>
            </w:r>
            <w:r w:rsidR="00B378D6">
              <w:t>Viewports</w:t>
            </w:r>
          </w:p>
        </w:tc>
        <w:tc>
          <w:tcPr>
            <w:tcW w:w="279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139" w:type="dxa"/>
            <w:shd w:val="clear" w:color="auto" w:fill="auto"/>
          </w:tcPr>
          <w:p w14:paraId="5853F81E" w14:textId="05FDDBED" w:rsidR="0072429F" w:rsidRPr="004777B8" w:rsidRDefault="00F211FB" w:rsidP="00C03703">
            <w:pPr>
              <w:pStyle w:val="BodyText"/>
              <w:jc w:val="center"/>
            </w:pPr>
            <w:hyperlink r:id="rId32" w:tooltip="LIGO-E1200445-v16" w:history="1">
              <w:r w:rsidR="00FE3B51" w:rsidRPr="004777B8">
                <w:rPr>
                  <w:rStyle w:val="Hyperlink"/>
                </w:rPr>
                <w:t>E1200445</w:t>
              </w:r>
            </w:hyperlink>
            <w:r w:rsidR="00C03703" w:rsidRPr="004777B8">
              <w:rPr>
                <w:rStyle w:val="Hyperlink"/>
              </w:rPr>
              <w:t>.</w:t>
            </w:r>
            <w:r w:rsidR="00C03703" w:rsidRPr="004777B8">
              <w:t xml:space="preserve"> </w:t>
            </w:r>
            <w:r w:rsidR="005011A6" w:rsidRPr="004777B8">
              <w:t>Leak and pressure testing was completed, refer to above link. All viewports were tagged at time of inspection and testing.</w:t>
            </w:r>
          </w:p>
        </w:tc>
        <w:tc>
          <w:tcPr>
            <w:tcW w:w="1882" w:type="dxa"/>
            <w:shd w:val="clear" w:color="auto" w:fill="auto"/>
          </w:tcPr>
          <w:p w14:paraId="286287F8" w14:textId="64C277CE" w:rsidR="0072429F" w:rsidRPr="004777B8" w:rsidRDefault="005011A6" w:rsidP="00793DBD">
            <w:pPr>
              <w:pStyle w:val="BodyText"/>
              <w:jc w:val="center"/>
            </w:pPr>
            <w:r w:rsidRPr="004777B8">
              <w:t>Visual inspection in-situ not completed, refer to bug list.</w:t>
            </w:r>
          </w:p>
        </w:tc>
      </w:tr>
    </w:tbl>
    <w:p w14:paraId="57788277" w14:textId="6C363B28" w:rsidR="008F1B4C" w:rsidRDefault="008F1B4C" w:rsidP="008F1B4C"/>
    <w:p w14:paraId="77886D48" w14:textId="77777777" w:rsidR="008F1B4C" w:rsidRDefault="008F1B4C">
      <w:r>
        <w:br w:type="page"/>
      </w:r>
    </w:p>
    <w:p w14:paraId="2A8FDDA1" w14:textId="77777777" w:rsidR="008F1B4C" w:rsidRPr="008F1B4C" w:rsidRDefault="008F1B4C" w:rsidP="008F1B4C"/>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r w:rsidR="000D239C" w:rsidRPr="00E748E1" w14:paraId="7FC17B66" w14:textId="77777777" w:rsidTr="007946CF">
        <w:tc>
          <w:tcPr>
            <w:tcW w:w="4493" w:type="dxa"/>
            <w:shd w:val="clear" w:color="auto" w:fill="auto"/>
          </w:tcPr>
          <w:p w14:paraId="063396AA" w14:textId="3CA7EDEB" w:rsidR="000D239C" w:rsidRPr="00E748E1" w:rsidRDefault="000D239C" w:rsidP="008E2940">
            <w:pPr>
              <w:pStyle w:val="BodyText"/>
            </w:pPr>
            <w:r w:rsidRPr="00E748E1">
              <w:t>ICS Assembly Record needs to be updated</w:t>
            </w:r>
          </w:p>
        </w:tc>
        <w:tc>
          <w:tcPr>
            <w:tcW w:w="4687" w:type="dxa"/>
            <w:shd w:val="clear" w:color="auto" w:fill="auto"/>
          </w:tcPr>
          <w:p w14:paraId="448F3B17" w14:textId="36DEE27B" w:rsidR="00711DEE" w:rsidRDefault="00711DEE" w:rsidP="00CA10B5">
            <w:pPr>
              <w:pStyle w:val="BodyText"/>
              <w:rPr>
                <w:b/>
                <w:color w:val="FF0000"/>
              </w:rPr>
            </w:pPr>
            <w:r>
              <w:rPr>
                <w:b/>
                <w:color w:val="FF0000"/>
              </w:rPr>
              <w:t xml:space="preserve">The ICS records for HAM1 may </w:t>
            </w:r>
            <w:r w:rsidR="004C7CB5" w:rsidRPr="00B164DC">
              <w:rPr>
                <w:b/>
                <w:color w:val="FF0000"/>
              </w:rPr>
              <w:t xml:space="preserve">be incomplete; There is </w:t>
            </w:r>
            <w:r>
              <w:rPr>
                <w:b/>
                <w:color w:val="FF0000"/>
              </w:rPr>
              <w:t>a top level assembly record but it has some problems.</w:t>
            </w:r>
          </w:p>
          <w:p w14:paraId="0BB7D9D6" w14:textId="58F33CC5" w:rsidR="00CA10B5" w:rsidRPr="00B164DC" w:rsidRDefault="004C7CB5" w:rsidP="00CA10B5">
            <w:pPr>
              <w:pStyle w:val="BodyText"/>
              <w:rPr>
                <w:b/>
                <w:color w:val="FF0000"/>
              </w:rPr>
            </w:pPr>
            <w:r w:rsidRPr="00B164DC">
              <w:rPr>
                <w:b/>
                <w:color w:val="FF0000"/>
              </w:rPr>
              <w:t xml:space="preserve"> </w:t>
            </w:r>
            <w:r w:rsidR="00711DEE">
              <w:rPr>
                <w:b/>
                <w:color w:val="FF0000"/>
              </w:rPr>
              <w:t>The passive stack isolation table</w:t>
            </w:r>
            <w:r w:rsidRPr="00B164DC">
              <w:rPr>
                <w:b/>
                <w:color w:val="FF0000"/>
              </w:rPr>
              <w:t xml:space="preserve"> precedes aLIGO and has no ICS entry. </w:t>
            </w:r>
          </w:p>
          <w:p w14:paraId="0427A3BF" w14:textId="68D16FF2" w:rsidR="000D239C" w:rsidRPr="00E748E1" w:rsidRDefault="000D239C" w:rsidP="006B2481">
            <w:pPr>
              <w:pStyle w:val="BodyText"/>
            </w:pP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33"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1AF63625" w:rsidR="00310C57" w:rsidRDefault="00310C57" w:rsidP="00D86A81">
      <w:pPr>
        <w:pStyle w:val="BodyText"/>
        <w:rPr>
          <w:i/>
          <w:sz w:val="20"/>
        </w:rPr>
      </w:pPr>
      <w:r>
        <w:rPr>
          <w:i/>
          <w:sz w:val="20"/>
        </w:rPr>
        <w:t xml:space="preserve">The format of the </w:t>
      </w:r>
      <w:proofErr w:type="spellStart"/>
      <w:proofErr w:type="gramStart"/>
      <w:r>
        <w:rPr>
          <w:i/>
          <w:sz w:val="20"/>
        </w:rPr>
        <w:t>url</w:t>
      </w:r>
      <w:proofErr w:type="spellEnd"/>
      <w:proofErr w:type="gramEnd"/>
      <w:r>
        <w:rPr>
          <w:i/>
          <w:sz w:val="20"/>
        </w:rPr>
        <w:t xml:space="preserve"> for the bug tracker is as follows e.g. </w:t>
      </w:r>
    </w:p>
    <w:p w14:paraId="38095B7E" w14:textId="06FA1B92" w:rsidR="00310C57" w:rsidRDefault="00EE64B5" w:rsidP="00D86A81">
      <w:pPr>
        <w:pStyle w:val="BodyText"/>
        <w:rPr>
          <w:i/>
          <w:sz w:val="20"/>
        </w:rPr>
      </w:pPr>
      <w:r>
        <w:rPr>
          <w:b/>
          <w:i/>
          <w:sz w:val="20"/>
        </w:rPr>
        <w:t>*</w:t>
      </w:r>
      <w:hyperlink r:id="rId34" w:history="1">
        <w:r w:rsidR="00310C57" w:rsidRPr="0016235C">
          <w:rPr>
            <w:rStyle w:val="Hyperlink"/>
            <w:b/>
            <w:i/>
            <w:sz w:val="20"/>
            <w:bdr w:val="none" w:sz="0" w:space="0" w:color="auto"/>
          </w:rPr>
          <w:t>https://services.ligo-wa.caltech.edu/integrationissues/show_bug.cgi?id=</w:t>
        </w:r>
        <w:r w:rsidR="00310C57" w:rsidRPr="0016235C">
          <w:rPr>
            <w:rStyle w:val="Hyperlink"/>
            <w:i/>
            <w:sz w:val="20"/>
            <w:bdr w:val="none" w:sz="0" w:space="0" w:color="auto"/>
          </w:rPr>
          <w:t>826</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898"/>
      </w:tblGrid>
      <w:tr w:rsidR="00DF6C1D" w:rsidRPr="00E748E1" w14:paraId="167FADD3" w14:textId="77777777" w:rsidTr="00760461">
        <w:tc>
          <w:tcPr>
            <w:tcW w:w="1556" w:type="dxa"/>
            <w:tcBorders>
              <w:bottom w:val="single" w:sz="4" w:space="0" w:color="auto"/>
            </w:tcBorders>
            <w:shd w:val="clear" w:color="auto" w:fill="auto"/>
          </w:tcPr>
          <w:p w14:paraId="4038417D" w14:textId="77777777" w:rsidR="00DF6C1D" w:rsidRPr="00E748E1" w:rsidRDefault="00DF6C1D" w:rsidP="00DF6C1D">
            <w:pPr>
              <w:pStyle w:val="BodyText"/>
            </w:pPr>
            <w:r w:rsidRPr="00E748E1">
              <w:t>Tracker #</w:t>
            </w:r>
            <w:r w:rsidRPr="00E748E1">
              <w:br/>
            </w:r>
            <w:r w:rsidRPr="00E748E1">
              <w:rPr>
                <w:i/>
              </w:rPr>
              <w:t>[hyperlinked]</w:t>
            </w:r>
          </w:p>
        </w:tc>
        <w:tc>
          <w:tcPr>
            <w:tcW w:w="7898" w:type="dxa"/>
            <w:tcBorders>
              <w:bottom w:val="single" w:sz="4" w:space="0" w:color="auto"/>
            </w:tcBorders>
            <w:shd w:val="clear" w:color="auto" w:fill="auto"/>
          </w:tcPr>
          <w:p w14:paraId="493522AA" w14:textId="77777777" w:rsidR="00DF6C1D" w:rsidRPr="00E748E1" w:rsidRDefault="00DF6C1D" w:rsidP="00DF6C1D">
            <w:pPr>
              <w:pStyle w:val="BodyText"/>
            </w:pPr>
            <w:r w:rsidRPr="00E748E1">
              <w:t>Title/description</w:t>
            </w:r>
          </w:p>
        </w:tc>
      </w:tr>
      <w:tr w:rsidR="00DF6C1D" w14:paraId="514B1832" w14:textId="77777777" w:rsidTr="00760461">
        <w:tc>
          <w:tcPr>
            <w:tcW w:w="1556" w:type="dxa"/>
            <w:shd w:val="clear" w:color="auto" w:fill="auto"/>
          </w:tcPr>
          <w:p w14:paraId="3B3C37DE" w14:textId="77777777" w:rsidR="00DF6C1D" w:rsidRPr="00E748E1" w:rsidRDefault="00DF6C1D" w:rsidP="00DF6C1D">
            <w:pPr>
              <w:pStyle w:val="BodyText"/>
            </w:pPr>
          </w:p>
        </w:tc>
        <w:tc>
          <w:tcPr>
            <w:tcW w:w="7898" w:type="dxa"/>
            <w:shd w:val="clear" w:color="auto" w:fill="auto"/>
          </w:tcPr>
          <w:p w14:paraId="10380CAE" w14:textId="77777777" w:rsidR="00DF6C1D" w:rsidRPr="00E748E1" w:rsidRDefault="00DF6C1D" w:rsidP="00DF6C1D">
            <w:pPr>
              <w:pStyle w:val="HTMLPreformatted"/>
            </w:pPr>
          </w:p>
        </w:tc>
      </w:tr>
      <w:tr w:rsidR="00760461" w14:paraId="445CC191" w14:textId="77777777" w:rsidTr="00EB6EF1">
        <w:tc>
          <w:tcPr>
            <w:tcW w:w="1556" w:type="dxa"/>
            <w:shd w:val="clear" w:color="auto" w:fill="E2EFD9" w:themeFill="accent6" w:themeFillTint="33"/>
          </w:tcPr>
          <w:p w14:paraId="64EDEA99" w14:textId="77777777" w:rsidR="00760461" w:rsidRDefault="00F211FB" w:rsidP="00EB6EF1">
            <w:pPr>
              <w:pStyle w:val="BodyText"/>
            </w:pPr>
            <w:hyperlink r:id="rId35" w:history="1">
              <w:r w:rsidR="00760461">
                <w:rPr>
                  <w:rStyle w:val="Hyperlink"/>
                  <w:bdr w:val="none" w:sz="0" w:space="0" w:color="auto"/>
                </w:rPr>
                <w:t>#73</w:t>
              </w:r>
            </w:hyperlink>
            <w:r w:rsidR="00760461">
              <w:t xml:space="preserve"> closed</w:t>
            </w:r>
          </w:p>
        </w:tc>
        <w:tc>
          <w:tcPr>
            <w:tcW w:w="7898" w:type="dxa"/>
            <w:shd w:val="clear" w:color="auto" w:fill="E2EFD9" w:themeFill="accent6" w:themeFillTint="33"/>
          </w:tcPr>
          <w:p w14:paraId="164DDE7B" w14:textId="77777777" w:rsidR="00760461" w:rsidRDefault="00760461" w:rsidP="00EB6EF1">
            <w:pPr>
              <w:pStyle w:val="BodyText"/>
            </w:pPr>
            <w:r>
              <w:t xml:space="preserve">The RF </w:t>
            </w:r>
            <w:proofErr w:type="spellStart"/>
            <w:r>
              <w:t>photodetectors</w:t>
            </w:r>
            <w:proofErr w:type="spellEnd"/>
            <w:r>
              <w:t xml:space="preserve"> </w:t>
            </w:r>
            <w:proofErr w:type="spellStart"/>
            <w:r>
              <w:t>self destruct</w:t>
            </w:r>
            <w:proofErr w:type="spellEnd"/>
            <w:r>
              <w:t xml:space="preserve"> on loss of a single DC power rail</w:t>
            </w:r>
          </w:p>
        </w:tc>
      </w:tr>
      <w:tr w:rsidR="00DD14BE" w14:paraId="393E3065" w14:textId="77777777" w:rsidTr="00760461">
        <w:tc>
          <w:tcPr>
            <w:tcW w:w="1556" w:type="dxa"/>
            <w:shd w:val="clear" w:color="auto" w:fill="E2EFD9" w:themeFill="accent6" w:themeFillTint="33"/>
          </w:tcPr>
          <w:p w14:paraId="3E92E0D1" w14:textId="77777777" w:rsidR="00DD14BE" w:rsidRDefault="00F211FB" w:rsidP="00DD14BE">
            <w:pPr>
              <w:pStyle w:val="BodyText"/>
            </w:pPr>
            <w:hyperlink r:id="rId36" w:history="1">
              <w:r w:rsidR="00DD14BE">
                <w:rPr>
                  <w:rStyle w:val="Hyperlink"/>
                  <w:bdr w:val="none" w:sz="0" w:space="0" w:color="auto"/>
                </w:rPr>
                <w:t>#87</w:t>
              </w:r>
            </w:hyperlink>
            <w:r w:rsidR="00DD14BE">
              <w:t xml:space="preserve"> closed</w:t>
            </w:r>
          </w:p>
        </w:tc>
        <w:tc>
          <w:tcPr>
            <w:tcW w:w="7898" w:type="dxa"/>
            <w:shd w:val="clear" w:color="auto" w:fill="E2EFD9" w:themeFill="accent6" w:themeFillTint="33"/>
          </w:tcPr>
          <w:p w14:paraId="23C78B78" w14:textId="77777777" w:rsidR="00DD14BE" w:rsidRDefault="00DD14BE" w:rsidP="00DD14BE">
            <w:pPr>
              <w:pStyle w:val="BodyText"/>
            </w:pPr>
            <w:r>
              <w:t>Difficulty with covering viewports on HAM1 side of HAM1-HAM2 septum.</w:t>
            </w:r>
          </w:p>
        </w:tc>
      </w:tr>
      <w:tr w:rsidR="00EE3F94" w14:paraId="529B671D" w14:textId="77777777" w:rsidTr="00760461">
        <w:tc>
          <w:tcPr>
            <w:tcW w:w="1556" w:type="dxa"/>
            <w:shd w:val="clear" w:color="auto" w:fill="E2EFD9" w:themeFill="accent6" w:themeFillTint="33"/>
          </w:tcPr>
          <w:p w14:paraId="00A5D2AE" w14:textId="6EBC2612" w:rsidR="00EE3F94" w:rsidRDefault="00F211FB" w:rsidP="00EE3F94">
            <w:pPr>
              <w:pStyle w:val="BodyText"/>
            </w:pPr>
            <w:hyperlink r:id="rId37" w:history="1">
              <w:r w:rsidR="00DD14BE">
                <w:rPr>
                  <w:rStyle w:val="Hyperlink"/>
                  <w:bdr w:val="none" w:sz="0" w:space="0" w:color="auto"/>
                </w:rPr>
                <w:t>#89</w:t>
              </w:r>
            </w:hyperlink>
            <w:r w:rsidR="00EE3F94">
              <w:t xml:space="preserve"> closed</w:t>
            </w:r>
          </w:p>
        </w:tc>
        <w:tc>
          <w:tcPr>
            <w:tcW w:w="7898" w:type="dxa"/>
            <w:shd w:val="clear" w:color="auto" w:fill="E2EFD9" w:themeFill="accent6" w:themeFillTint="33"/>
          </w:tcPr>
          <w:p w14:paraId="748FFAF4" w14:textId="7DABF024" w:rsidR="00EE3F94" w:rsidRDefault="00DD14BE" w:rsidP="00EE3F94">
            <w:pPr>
              <w:pStyle w:val="BodyText"/>
            </w:pPr>
            <w:r>
              <w:t>Ag-SS 5/16-24 screws in double stack viewports require change to plain SS</w:t>
            </w:r>
          </w:p>
        </w:tc>
      </w:tr>
      <w:tr w:rsidR="00343D7A" w14:paraId="64AD4924" w14:textId="77777777" w:rsidTr="00760461">
        <w:tc>
          <w:tcPr>
            <w:tcW w:w="1556" w:type="dxa"/>
            <w:shd w:val="clear" w:color="auto" w:fill="E2EFD9" w:themeFill="accent6" w:themeFillTint="33"/>
          </w:tcPr>
          <w:p w14:paraId="74912E43" w14:textId="77777777" w:rsidR="00343D7A" w:rsidRDefault="00F211FB" w:rsidP="00504C03">
            <w:pPr>
              <w:pStyle w:val="BodyText"/>
            </w:pPr>
            <w:hyperlink r:id="rId38" w:history="1">
              <w:r w:rsidR="00343D7A">
                <w:rPr>
                  <w:rStyle w:val="Hyperlink"/>
                  <w:bdr w:val="none" w:sz="0" w:space="0" w:color="auto"/>
                </w:rPr>
                <w:t>#95</w:t>
              </w:r>
            </w:hyperlink>
            <w:r w:rsidR="00343D7A">
              <w:t xml:space="preserve"> closed</w:t>
            </w:r>
          </w:p>
        </w:tc>
        <w:tc>
          <w:tcPr>
            <w:tcW w:w="7898" w:type="dxa"/>
            <w:shd w:val="clear" w:color="auto" w:fill="E2EFD9" w:themeFill="accent6" w:themeFillTint="33"/>
          </w:tcPr>
          <w:p w14:paraId="00A8BED3" w14:textId="77777777" w:rsidR="00343D7A" w:rsidRDefault="00343D7A" w:rsidP="00504C03">
            <w:pPr>
              <w:pStyle w:val="BodyText"/>
            </w:pPr>
            <w:r>
              <w:t>Quick look at contamination on PSL main double stack viewport</w:t>
            </w:r>
          </w:p>
        </w:tc>
      </w:tr>
      <w:tr w:rsidR="00DD14BE" w14:paraId="17D327CF" w14:textId="77777777" w:rsidTr="00760461">
        <w:tc>
          <w:tcPr>
            <w:tcW w:w="1556" w:type="dxa"/>
            <w:shd w:val="clear" w:color="auto" w:fill="E2EFD9" w:themeFill="accent6" w:themeFillTint="33"/>
          </w:tcPr>
          <w:p w14:paraId="3348215F" w14:textId="11771994" w:rsidR="00DD14BE" w:rsidRDefault="00F211FB" w:rsidP="00DD14BE">
            <w:pPr>
              <w:pStyle w:val="BodyText"/>
            </w:pPr>
            <w:hyperlink r:id="rId39" w:history="1">
              <w:r w:rsidR="00343D7A">
                <w:rPr>
                  <w:rStyle w:val="Hyperlink"/>
                  <w:bdr w:val="none" w:sz="0" w:space="0" w:color="auto"/>
                </w:rPr>
                <w:t>#96</w:t>
              </w:r>
            </w:hyperlink>
            <w:r w:rsidR="00DD14BE">
              <w:t xml:space="preserve"> closed</w:t>
            </w:r>
          </w:p>
        </w:tc>
        <w:tc>
          <w:tcPr>
            <w:tcW w:w="7898" w:type="dxa"/>
            <w:shd w:val="clear" w:color="auto" w:fill="E2EFD9" w:themeFill="accent6" w:themeFillTint="33"/>
          </w:tcPr>
          <w:p w14:paraId="7134F620" w14:textId="15B6B80C" w:rsidR="00DD14BE" w:rsidRDefault="00343D7A" w:rsidP="00DD14BE">
            <w:pPr>
              <w:pStyle w:val="BodyText"/>
            </w:pPr>
            <w:r>
              <w:t>ALS COMM/DIFF signals missing</w:t>
            </w:r>
          </w:p>
        </w:tc>
      </w:tr>
      <w:tr w:rsidR="00343D7A" w14:paraId="579C4140" w14:textId="77777777" w:rsidTr="00760461">
        <w:tc>
          <w:tcPr>
            <w:tcW w:w="1556" w:type="dxa"/>
            <w:shd w:val="clear" w:color="auto" w:fill="E2EFD9" w:themeFill="accent6" w:themeFillTint="33"/>
          </w:tcPr>
          <w:p w14:paraId="676B4226" w14:textId="6A854792" w:rsidR="00343D7A" w:rsidRDefault="00F211FB" w:rsidP="00504C03">
            <w:pPr>
              <w:pStyle w:val="BodyText"/>
            </w:pPr>
            <w:hyperlink r:id="rId40" w:history="1">
              <w:r w:rsidR="00343D7A">
                <w:rPr>
                  <w:rStyle w:val="Hyperlink"/>
                  <w:bdr w:val="none" w:sz="0" w:space="0" w:color="auto"/>
                </w:rPr>
                <w:t>#100</w:t>
              </w:r>
            </w:hyperlink>
            <w:r w:rsidR="00343D7A">
              <w:t xml:space="preserve"> closed</w:t>
            </w:r>
          </w:p>
        </w:tc>
        <w:tc>
          <w:tcPr>
            <w:tcW w:w="7898" w:type="dxa"/>
            <w:shd w:val="clear" w:color="auto" w:fill="E2EFD9" w:themeFill="accent6" w:themeFillTint="33"/>
          </w:tcPr>
          <w:p w14:paraId="18D5A80A" w14:textId="5B9CAECD" w:rsidR="00343D7A" w:rsidRDefault="00343D7A" w:rsidP="00504C03">
            <w:pPr>
              <w:pStyle w:val="BodyText"/>
            </w:pPr>
            <w:r>
              <w:t>Add a half-wave plate to the REFL beam path in HAM1</w:t>
            </w:r>
          </w:p>
        </w:tc>
      </w:tr>
      <w:tr w:rsidR="0053535E" w14:paraId="6E82F2B7" w14:textId="77777777" w:rsidTr="00760461">
        <w:tc>
          <w:tcPr>
            <w:tcW w:w="1556" w:type="dxa"/>
            <w:shd w:val="clear" w:color="auto" w:fill="E2EFD9" w:themeFill="accent6" w:themeFillTint="33"/>
          </w:tcPr>
          <w:p w14:paraId="3CDD8C92" w14:textId="77777777" w:rsidR="0053535E" w:rsidRDefault="00F211FB" w:rsidP="0053535E">
            <w:pPr>
              <w:pStyle w:val="BodyText"/>
            </w:pPr>
            <w:hyperlink r:id="rId41" w:history="1">
              <w:r w:rsidR="0053535E" w:rsidRPr="007A1D46">
                <w:rPr>
                  <w:rStyle w:val="Hyperlink"/>
                  <w:bdr w:val="none" w:sz="0" w:space="0" w:color="auto"/>
                </w:rPr>
                <w:t>#118</w:t>
              </w:r>
            </w:hyperlink>
            <w:r w:rsidR="0053535E">
              <w:t xml:space="preserve"> closed</w:t>
            </w:r>
          </w:p>
        </w:tc>
        <w:tc>
          <w:tcPr>
            <w:tcW w:w="7898" w:type="dxa"/>
            <w:shd w:val="clear" w:color="auto" w:fill="E2EFD9" w:themeFill="accent6" w:themeFillTint="33"/>
          </w:tcPr>
          <w:p w14:paraId="1A66A2DF" w14:textId="77777777" w:rsidR="0053535E" w:rsidRDefault="0053535E" w:rsidP="0053535E">
            <w:pPr>
              <w:pStyle w:val="BodyText"/>
            </w:pPr>
            <w:r>
              <w:t>ECR:</w:t>
            </w:r>
            <w:r w:rsidRPr="007A1D46">
              <w:t xml:space="preserve"> HEPI </w:t>
            </w:r>
            <w:proofErr w:type="spellStart"/>
            <w:r w:rsidRPr="007A1D46">
              <w:t>medm</w:t>
            </w:r>
            <w:proofErr w:type="spellEnd"/>
            <w:r w:rsidRPr="007A1D46">
              <w:t xml:space="preserve"> screen update</w:t>
            </w:r>
          </w:p>
        </w:tc>
      </w:tr>
      <w:tr w:rsidR="00DF6C1D" w14:paraId="0CCC1A57" w14:textId="77777777" w:rsidTr="00760461">
        <w:tc>
          <w:tcPr>
            <w:tcW w:w="1556" w:type="dxa"/>
            <w:shd w:val="clear" w:color="auto" w:fill="E2EFD9" w:themeFill="accent6" w:themeFillTint="33"/>
          </w:tcPr>
          <w:p w14:paraId="40490BFA" w14:textId="77777777" w:rsidR="00DF6C1D" w:rsidRDefault="00F211FB" w:rsidP="00DF6C1D">
            <w:pPr>
              <w:pStyle w:val="BodyText"/>
            </w:pPr>
            <w:hyperlink r:id="rId42" w:history="1">
              <w:r w:rsidR="00DF6C1D" w:rsidRPr="0069789B">
                <w:rPr>
                  <w:rStyle w:val="Hyperlink"/>
                  <w:bdr w:val="none" w:sz="0" w:space="0" w:color="auto"/>
                </w:rPr>
                <w:t>#182</w:t>
              </w:r>
            </w:hyperlink>
            <w:r w:rsidR="00DF6C1D">
              <w:t xml:space="preserve"> closed</w:t>
            </w:r>
          </w:p>
        </w:tc>
        <w:tc>
          <w:tcPr>
            <w:tcW w:w="7898" w:type="dxa"/>
            <w:shd w:val="clear" w:color="auto" w:fill="E2EFD9" w:themeFill="accent6" w:themeFillTint="33"/>
          </w:tcPr>
          <w:p w14:paraId="4D5D3BCE" w14:textId="77777777" w:rsidR="00DF6C1D" w:rsidRDefault="00DF6C1D" w:rsidP="00DF6C1D">
            <w:pPr>
              <w:pStyle w:val="BodyText"/>
            </w:pPr>
            <w:r>
              <w:t>ECR:</w:t>
            </w:r>
            <w:r w:rsidRPr="0069789B">
              <w:t xml:space="preserve"> BSC-ISI and HEPI MEDM</w:t>
            </w:r>
            <w:r>
              <w:t xml:space="preserve"> (Duplicate of #500)</w:t>
            </w:r>
          </w:p>
        </w:tc>
      </w:tr>
      <w:tr w:rsidR="00DF6C1D" w14:paraId="5639234F" w14:textId="77777777" w:rsidTr="00760461">
        <w:tc>
          <w:tcPr>
            <w:tcW w:w="1556" w:type="dxa"/>
            <w:shd w:val="clear" w:color="auto" w:fill="E2EFD9" w:themeFill="accent6" w:themeFillTint="33"/>
          </w:tcPr>
          <w:p w14:paraId="5E0CE4B3" w14:textId="60BE4388" w:rsidR="00DF6C1D" w:rsidRDefault="00F211FB" w:rsidP="00DF6C1D">
            <w:pPr>
              <w:pStyle w:val="BodyText"/>
            </w:pPr>
            <w:hyperlink r:id="rId43" w:history="1">
              <w:r w:rsidR="00343D7A">
                <w:rPr>
                  <w:rStyle w:val="Hyperlink"/>
                  <w:bdr w:val="none" w:sz="0" w:space="0" w:color="auto"/>
                </w:rPr>
                <w:t>#196</w:t>
              </w:r>
            </w:hyperlink>
            <w:r w:rsidR="00DF6C1D">
              <w:t xml:space="preserve"> closed</w:t>
            </w:r>
          </w:p>
        </w:tc>
        <w:tc>
          <w:tcPr>
            <w:tcW w:w="7898" w:type="dxa"/>
            <w:shd w:val="clear" w:color="auto" w:fill="E2EFD9" w:themeFill="accent6" w:themeFillTint="33"/>
          </w:tcPr>
          <w:p w14:paraId="2FAE8BE2" w14:textId="36F1BA1B" w:rsidR="00DF6C1D" w:rsidRDefault="00343D7A" w:rsidP="00DF6C1D">
            <w:pPr>
              <w:pStyle w:val="BodyText"/>
            </w:pPr>
            <w:r>
              <w:t>Cleanliness of input viewport and septum viewport that high power from PSL passes through</w:t>
            </w:r>
          </w:p>
        </w:tc>
      </w:tr>
      <w:tr w:rsidR="00DF6C1D" w14:paraId="673654BC" w14:textId="77777777" w:rsidTr="00760461">
        <w:tc>
          <w:tcPr>
            <w:tcW w:w="1556" w:type="dxa"/>
            <w:shd w:val="clear" w:color="auto" w:fill="auto"/>
          </w:tcPr>
          <w:p w14:paraId="3A3F3627" w14:textId="21A41755" w:rsidR="00DF6C1D" w:rsidRDefault="00F211FB" w:rsidP="00DF6C1D">
            <w:pPr>
              <w:pStyle w:val="BodyText"/>
            </w:pPr>
            <w:hyperlink r:id="rId44" w:history="1">
              <w:r w:rsidR="00B761FC">
                <w:rPr>
                  <w:rStyle w:val="Hyperlink"/>
                  <w:bdr w:val="none" w:sz="0" w:space="0" w:color="auto"/>
                </w:rPr>
                <w:t>#332</w:t>
              </w:r>
            </w:hyperlink>
          </w:p>
        </w:tc>
        <w:tc>
          <w:tcPr>
            <w:tcW w:w="7898" w:type="dxa"/>
            <w:shd w:val="clear" w:color="auto" w:fill="auto"/>
          </w:tcPr>
          <w:p w14:paraId="260D4C56" w14:textId="15F48C18" w:rsidR="00DF6C1D" w:rsidRPr="003F7725" w:rsidRDefault="00B761FC" w:rsidP="00DF6C1D">
            <w:pPr>
              <w:pStyle w:val="BodyText"/>
            </w:pPr>
            <w:r>
              <w:t>RF phase shifts when cables moved</w:t>
            </w:r>
          </w:p>
        </w:tc>
      </w:tr>
      <w:tr w:rsidR="00DF6C1D" w14:paraId="78DA353F" w14:textId="77777777" w:rsidTr="00760461">
        <w:tc>
          <w:tcPr>
            <w:tcW w:w="1556" w:type="dxa"/>
            <w:shd w:val="clear" w:color="auto" w:fill="E2EFD9" w:themeFill="accent6" w:themeFillTint="33"/>
          </w:tcPr>
          <w:p w14:paraId="2A5D93CE" w14:textId="6D86C36C" w:rsidR="00DF6C1D" w:rsidRDefault="00F211FB" w:rsidP="00DF6C1D">
            <w:pPr>
              <w:pStyle w:val="BodyText"/>
            </w:pPr>
            <w:hyperlink r:id="rId45" w:history="1">
              <w:r w:rsidR="00760461">
                <w:rPr>
                  <w:rStyle w:val="Hyperlink"/>
                  <w:bdr w:val="none" w:sz="0" w:space="0" w:color="auto"/>
                </w:rPr>
                <w:t>#373</w:t>
              </w:r>
            </w:hyperlink>
            <w:r w:rsidR="00DF6C1D">
              <w:t xml:space="preserve"> closed</w:t>
            </w:r>
          </w:p>
        </w:tc>
        <w:tc>
          <w:tcPr>
            <w:tcW w:w="7898" w:type="dxa"/>
            <w:shd w:val="clear" w:color="auto" w:fill="E2EFD9" w:themeFill="accent6" w:themeFillTint="33"/>
          </w:tcPr>
          <w:p w14:paraId="62FC01B4" w14:textId="0887B663" w:rsidR="00DF6C1D" w:rsidRDefault="00760461" w:rsidP="00DF6C1D">
            <w:pPr>
              <w:pStyle w:val="BodyText"/>
            </w:pPr>
            <w:r>
              <w:t>Extraction of PSL beam in HAM1 through central viewport</w:t>
            </w:r>
          </w:p>
        </w:tc>
      </w:tr>
      <w:tr w:rsidR="00EB6EF1" w14:paraId="7568D063" w14:textId="77777777" w:rsidTr="00EB6EF1">
        <w:tc>
          <w:tcPr>
            <w:tcW w:w="1556" w:type="dxa"/>
            <w:shd w:val="clear" w:color="auto" w:fill="E2EFD9" w:themeFill="accent6" w:themeFillTint="33"/>
          </w:tcPr>
          <w:p w14:paraId="542BFA18" w14:textId="3D74317D" w:rsidR="00EB6EF1" w:rsidRDefault="00F211FB" w:rsidP="00EB6EF1">
            <w:pPr>
              <w:pStyle w:val="BodyText"/>
            </w:pPr>
            <w:hyperlink r:id="rId46" w:history="1">
              <w:r w:rsidR="00EB6EF1">
                <w:rPr>
                  <w:rStyle w:val="Hyperlink"/>
                  <w:bdr w:val="none" w:sz="0" w:space="0" w:color="auto"/>
                </w:rPr>
                <w:t>#441</w:t>
              </w:r>
            </w:hyperlink>
            <w:r w:rsidR="00EB6EF1">
              <w:t xml:space="preserve"> closed</w:t>
            </w:r>
          </w:p>
        </w:tc>
        <w:tc>
          <w:tcPr>
            <w:tcW w:w="7898" w:type="dxa"/>
            <w:shd w:val="clear" w:color="auto" w:fill="E2EFD9" w:themeFill="accent6" w:themeFillTint="33"/>
          </w:tcPr>
          <w:p w14:paraId="3626466F" w14:textId="6546E391" w:rsidR="00EB6EF1" w:rsidRDefault="00EB6EF1" w:rsidP="00EB6EF1">
            <w:pPr>
              <w:pStyle w:val="BodyText"/>
            </w:pPr>
            <w:r>
              <w:t>Cable plan for 5-way coax cables</w:t>
            </w:r>
          </w:p>
        </w:tc>
      </w:tr>
      <w:tr w:rsidR="0052110B" w14:paraId="1950F2C9" w14:textId="77777777" w:rsidTr="00760461">
        <w:tc>
          <w:tcPr>
            <w:tcW w:w="1556" w:type="dxa"/>
            <w:shd w:val="clear" w:color="auto" w:fill="E2EFD9" w:themeFill="accent6" w:themeFillTint="33"/>
          </w:tcPr>
          <w:p w14:paraId="45CDDAC1" w14:textId="221BB6AE" w:rsidR="0052110B" w:rsidRDefault="00F211FB" w:rsidP="00FF105E">
            <w:pPr>
              <w:pStyle w:val="BodyText"/>
            </w:pPr>
            <w:hyperlink r:id="rId47" w:history="1">
              <w:r w:rsidR="0052110B">
                <w:rPr>
                  <w:rStyle w:val="Hyperlink"/>
                  <w:bdr w:val="none" w:sz="0" w:space="0" w:color="auto"/>
                </w:rPr>
                <w:t>#443</w:t>
              </w:r>
            </w:hyperlink>
            <w:r w:rsidR="0052110B">
              <w:t xml:space="preserve"> closed</w:t>
            </w:r>
          </w:p>
        </w:tc>
        <w:tc>
          <w:tcPr>
            <w:tcW w:w="7898" w:type="dxa"/>
            <w:shd w:val="clear" w:color="auto" w:fill="E2EFD9" w:themeFill="accent6" w:themeFillTint="33"/>
          </w:tcPr>
          <w:p w14:paraId="054DEB85" w14:textId="233DB73D" w:rsidR="0052110B" w:rsidRDefault="0052110B" w:rsidP="00FF105E">
            <w:pPr>
              <w:pStyle w:val="BodyText"/>
            </w:pPr>
            <w:r>
              <w:t>RF splitter for BBPDs need to be documented (Duplicate of #465)</w:t>
            </w:r>
          </w:p>
        </w:tc>
      </w:tr>
      <w:tr w:rsidR="00DF6C1D" w14:paraId="13383203" w14:textId="77777777" w:rsidTr="00760461">
        <w:tc>
          <w:tcPr>
            <w:tcW w:w="1556" w:type="dxa"/>
            <w:shd w:val="clear" w:color="auto" w:fill="E2EFD9" w:themeFill="accent6" w:themeFillTint="33"/>
          </w:tcPr>
          <w:p w14:paraId="41FFF3FC" w14:textId="77777777" w:rsidR="00DF6C1D" w:rsidRDefault="00F211FB" w:rsidP="00DF6C1D">
            <w:pPr>
              <w:pStyle w:val="BodyText"/>
            </w:pPr>
            <w:hyperlink r:id="rId48" w:history="1">
              <w:r w:rsidR="00DF6C1D" w:rsidRPr="000D20B7">
                <w:rPr>
                  <w:rStyle w:val="Hyperlink"/>
                  <w:bdr w:val="none" w:sz="0" w:space="0" w:color="auto"/>
                </w:rPr>
                <w:t>#445</w:t>
              </w:r>
            </w:hyperlink>
            <w:r w:rsidR="00DF6C1D">
              <w:t xml:space="preserve"> closed</w:t>
            </w:r>
          </w:p>
        </w:tc>
        <w:tc>
          <w:tcPr>
            <w:tcW w:w="7898" w:type="dxa"/>
            <w:shd w:val="clear" w:color="auto" w:fill="E2EFD9" w:themeFill="accent6" w:themeFillTint="33"/>
          </w:tcPr>
          <w:p w14:paraId="133FD76D" w14:textId="77777777" w:rsidR="00DF6C1D" w:rsidRDefault="00DF6C1D" w:rsidP="00DF6C1D">
            <w:pPr>
              <w:pStyle w:val="BodyText"/>
            </w:pPr>
            <w:r>
              <w:t>ECR:</w:t>
            </w:r>
            <w:r w:rsidRPr="000D20B7">
              <w:t xml:space="preserve"> Update the SAFE level for the BSC and HEPI model watchdog</w:t>
            </w:r>
          </w:p>
        </w:tc>
      </w:tr>
      <w:tr w:rsidR="00DF6C1D" w14:paraId="17900DC3" w14:textId="77777777" w:rsidTr="00760461">
        <w:tc>
          <w:tcPr>
            <w:tcW w:w="1556" w:type="dxa"/>
            <w:shd w:val="clear" w:color="auto" w:fill="E2EFD9" w:themeFill="accent6" w:themeFillTint="33"/>
          </w:tcPr>
          <w:p w14:paraId="6DE36684" w14:textId="13A01DC0" w:rsidR="00DF6C1D" w:rsidRDefault="00F211FB" w:rsidP="00DF6C1D">
            <w:pPr>
              <w:pStyle w:val="BodyText"/>
            </w:pPr>
            <w:hyperlink r:id="rId49" w:history="1">
              <w:r w:rsidR="0052110B">
                <w:rPr>
                  <w:rStyle w:val="Hyperlink"/>
                  <w:bdr w:val="none" w:sz="0" w:space="0" w:color="auto"/>
                </w:rPr>
                <w:t>#465</w:t>
              </w:r>
            </w:hyperlink>
            <w:r w:rsidR="00DF6C1D">
              <w:t xml:space="preserve"> closed</w:t>
            </w:r>
          </w:p>
        </w:tc>
        <w:tc>
          <w:tcPr>
            <w:tcW w:w="7898" w:type="dxa"/>
            <w:shd w:val="clear" w:color="auto" w:fill="E2EFD9" w:themeFill="accent6" w:themeFillTint="33"/>
          </w:tcPr>
          <w:p w14:paraId="47E0D674" w14:textId="09637C3F" w:rsidR="00DF6C1D" w:rsidRPr="00E716D3" w:rsidRDefault="0052110B" w:rsidP="00DF6C1D">
            <w:pPr>
              <w:pStyle w:val="BodyText"/>
            </w:pPr>
            <w:r>
              <w:t>Need for additional amplification on the 135MHz signal chain</w:t>
            </w:r>
          </w:p>
        </w:tc>
      </w:tr>
      <w:tr w:rsidR="00DF6C1D" w14:paraId="7BDCEB08" w14:textId="77777777" w:rsidTr="00760461">
        <w:tc>
          <w:tcPr>
            <w:tcW w:w="1556" w:type="dxa"/>
            <w:shd w:val="clear" w:color="auto" w:fill="auto"/>
          </w:tcPr>
          <w:p w14:paraId="0C6CC1B8" w14:textId="77777777" w:rsidR="00DF6C1D" w:rsidRDefault="00F211FB" w:rsidP="00DF6C1D">
            <w:pPr>
              <w:pStyle w:val="BodyText"/>
            </w:pPr>
            <w:hyperlink r:id="rId50" w:history="1">
              <w:r w:rsidR="00DF6C1D" w:rsidRPr="00692981">
                <w:rPr>
                  <w:rStyle w:val="Hyperlink"/>
                  <w:bdr w:val="none" w:sz="0" w:space="0" w:color="auto"/>
                </w:rPr>
                <w:t>#482</w:t>
              </w:r>
            </w:hyperlink>
          </w:p>
        </w:tc>
        <w:tc>
          <w:tcPr>
            <w:tcW w:w="7898" w:type="dxa"/>
            <w:shd w:val="clear" w:color="auto" w:fill="auto"/>
          </w:tcPr>
          <w:p w14:paraId="43505515" w14:textId="77777777" w:rsidR="00DF6C1D" w:rsidRDefault="00DF6C1D" w:rsidP="00DF6C1D">
            <w:pPr>
              <w:pStyle w:val="BodyText"/>
            </w:pPr>
            <w:r w:rsidRPr="00E716D3">
              <w:t>ECR: ODC changes in SUS, SEI, HPI and PSL</w:t>
            </w:r>
          </w:p>
        </w:tc>
      </w:tr>
      <w:tr w:rsidR="00DF6C1D" w14:paraId="10867B3B" w14:textId="77777777" w:rsidTr="00760461">
        <w:tc>
          <w:tcPr>
            <w:tcW w:w="1556" w:type="dxa"/>
            <w:shd w:val="clear" w:color="auto" w:fill="E2EFD9" w:themeFill="accent6" w:themeFillTint="33"/>
          </w:tcPr>
          <w:p w14:paraId="405C2050" w14:textId="77777777" w:rsidR="00DF6C1D" w:rsidRDefault="00F211FB" w:rsidP="00DF6C1D">
            <w:pPr>
              <w:pStyle w:val="BodyText"/>
            </w:pPr>
            <w:hyperlink r:id="rId51" w:history="1">
              <w:r w:rsidR="00DF6C1D" w:rsidRPr="00692981">
                <w:rPr>
                  <w:rStyle w:val="Hyperlink"/>
                  <w:bdr w:val="none" w:sz="0" w:space="0" w:color="auto"/>
                </w:rPr>
                <w:t>#500</w:t>
              </w:r>
            </w:hyperlink>
            <w:r w:rsidR="00DF6C1D">
              <w:t xml:space="preserve"> closed</w:t>
            </w:r>
          </w:p>
        </w:tc>
        <w:tc>
          <w:tcPr>
            <w:tcW w:w="7898" w:type="dxa"/>
            <w:shd w:val="clear" w:color="auto" w:fill="E2EFD9" w:themeFill="accent6" w:themeFillTint="33"/>
          </w:tcPr>
          <w:p w14:paraId="2950818B" w14:textId="77777777" w:rsidR="00DF6C1D" w:rsidRDefault="00DF6C1D" w:rsidP="00DF6C1D">
            <w:pPr>
              <w:pStyle w:val="BodyText"/>
            </w:pPr>
            <w:r>
              <w:t>ECR:</w:t>
            </w:r>
            <w:r w:rsidRPr="00352435">
              <w:t xml:space="preserve"> HEPI MEDM Update</w:t>
            </w:r>
          </w:p>
        </w:tc>
      </w:tr>
      <w:tr w:rsidR="00310F76" w14:paraId="403EAB91" w14:textId="77777777" w:rsidTr="00310F76">
        <w:tc>
          <w:tcPr>
            <w:tcW w:w="1556" w:type="dxa"/>
            <w:shd w:val="clear" w:color="auto" w:fill="E2EFD9" w:themeFill="accent6" w:themeFillTint="33"/>
          </w:tcPr>
          <w:p w14:paraId="4826F962" w14:textId="77777777" w:rsidR="00310F76" w:rsidRDefault="00F211FB" w:rsidP="00310F76">
            <w:pPr>
              <w:pStyle w:val="BodyText"/>
            </w:pPr>
            <w:hyperlink r:id="rId52" w:history="1">
              <w:r w:rsidR="00310F76">
                <w:rPr>
                  <w:rStyle w:val="Hyperlink"/>
                  <w:bdr w:val="none" w:sz="0" w:space="0" w:color="auto"/>
                </w:rPr>
                <w:t>#530</w:t>
              </w:r>
            </w:hyperlink>
            <w:r w:rsidR="00310F76">
              <w:t xml:space="preserve"> closed</w:t>
            </w:r>
          </w:p>
        </w:tc>
        <w:tc>
          <w:tcPr>
            <w:tcW w:w="7898" w:type="dxa"/>
            <w:shd w:val="clear" w:color="auto" w:fill="E2EFD9" w:themeFill="accent6" w:themeFillTint="33"/>
          </w:tcPr>
          <w:p w14:paraId="1A3A0E2E" w14:textId="77777777" w:rsidR="00310F76" w:rsidRDefault="00310F76" w:rsidP="00310F76">
            <w:pPr>
              <w:pStyle w:val="BodyText"/>
            </w:pPr>
            <w:r>
              <w:t>update to the HEPI master model and related MEDM screens</w:t>
            </w:r>
          </w:p>
        </w:tc>
      </w:tr>
      <w:tr w:rsidR="00791349" w14:paraId="0F4A20F5" w14:textId="77777777" w:rsidTr="00760461">
        <w:tc>
          <w:tcPr>
            <w:tcW w:w="1556" w:type="dxa"/>
            <w:shd w:val="clear" w:color="auto" w:fill="E2EFD9" w:themeFill="accent6" w:themeFillTint="33"/>
          </w:tcPr>
          <w:p w14:paraId="295644D8" w14:textId="2D28ED7A" w:rsidR="00791349" w:rsidRDefault="00F211FB" w:rsidP="00FF105E">
            <w:pPr>
              <w:pStyle w:val="BodyText"/>
            </w:pPr>
            <w:hyperlink r:id="rId53" w:history="1">
              <w:r w:rsidR="00310F76">
                <w:rPr>
                  <w:rStyle w:val="Hyperlink"/>
                  <w:bdr w:val="none" w:sz="0" w:space="0" w:color="auto"/>
                </w:rPr>
                <w:t>#534</w:t>
              </w:r>
            </w:hyperlink>
            <w:r w:rsidR="00791349">
              <w:t xml:space="preserve"> closed</w:t>
            </w:r>
          </w:p>
        </w:tc>
        <w:tc>
          <w:tcPr>
            <w:tcW w:w="7898" w:type="dxa"/>
            <w:shd w:val="clear" w:color="auto" w:fill="E2EFD9" w:themeFill="accent6" w:themeFillTint="33"/>
          </w:tcPr>
          <w:p w14:paraId="6D9BDBBF" w14:textId="036A0002" w:rsidR="00791349" w:rsidRDefault="00310F76" w:rsidP="00FF105E">
            <w:pPr>
              <w:pStyle w:val="BodyText"/>
            </w:pPr>
            <w:r>
              <w:t xml:space="preserve">Dual 5 way coax </w:t>
            </w:r>
            <w:proofErr w:type="spellStart"/>
            <w:r>
              <w:t>feedthrus</w:t>
            </w:r>
            <w:proofErr w:type="spellEnd"/>
            <w:r>
              <w:t xml:space="preserve"> installed on HAM 1 and 2 are not of the latest version.</w:t>
            </w:r>
          </w:p>
        </w:tc>
      </w:tr>
      <w:tr w:rsidR="00CD47F5" w14:paraId="051D8EAF" w14:textId="77777777" w:rsidTr="00760461">
        <w:tc>
          <w:tcPr>
            <w:tcW w:w="1556" w:type="dxa"/>
            <w:shd w:val="clear" w:color="auto" w:fill="E2EFD9" w:themeFill="accent6" w:themeFillTint="33"/>
          </w:tcPr>
          <w:p w14:paraId="77DF2CC6" w14:textId="77777777" w:rsidR="00CD47F5" w:rsidRDefault="00F211FB" w:rsidP="00FF105E">
            <w:pPr>
              <w:pStyle w:val="BodyText"/>
            </w:pPr>
            <w:hyperlink r:id="rId54" w:history="1">
              <w:r w:rsidR="00CD47F5">
                <w:rPr>
                  <w:rStyle w:val="Hyperlink"/>
                  <w:bdr w:val="none" w:sz="0" w:space="0" w:color="auto"/>
                </w:rPr>
                <w:t>#551</w:t>
              </w:r>
            </w:hyperlink>
            <w:r w:rsidR="00CD47F5">
              <w:t xml:space="preserve"> closed</w:t>
            </w:r>
          </w:p>
        </w:tc>
        <w:tc>
          <w:tcPr>
            <w:tcW w:w="7898" w:type="dxa"/>
            <w:shd w:val="clear" w:color="auto" w:fill="E2EFD9" w:themeFill="accent6" w:themeFillTint="33"/>
          </w:tcPr>
          <w:p w14:paraId="47C5AA28" w14:textId="77777777" w:rsidR="00CD47F5" w:rsidRDefault="00CD47F5" w:rsidP="00FF105E">
            <w:pPr>
              <w:pStyle w:val="BodyText"/>
            </w:pPr>
            <w:r>
              <w:t>HEPI script update</w:t>
            </w:r>
          </w:p>
        </w:tc>
      </w:tr>
      <w:tr w:rsidR="00D8183A" w14:paraId="0EB52C6B" w14:textId="77777777" w:rsidTr="00802449">
        <w:tc>
          <w:tcPr>
            <w:tcW w:w="1556" w:type="dxa"/>
            <w:shd w:val="clear" w:color="auto" w:fill="auto"/>
          </w:tcPr>
          <w:p w14:paraId="29EBDDEC" w14:textId="0E7F88B2" w:rsidR="00D8183A" w:rsidRDefault="00F211FB" w:rsidP="00802449">
            <w:pPr>
              <w:pStyle w:val="BodyText"/>
            </w:pPr>
            <w:hyperlink r:id="rId55" w:history="1">
              <w:r w:rsidR="00D8183A">
                <w:rPr>
                  <w:rStyle w:val="Hyperlink"/>
                  <w:bdr w:val="none" w:sz="0" w:space="0" w:color="auto"/>
                </w:rPr>
                <w:t>#570</w:t>
              </w:r>
            </w:hyperlink>
          </w:p>
        </w:tc>
        <w:tc>
          <w:tcPr>
            <w:tcW w:w="7898" w:type="dxa"/>
            <w:shd w:val="clear" w:color="auto" w:fill="auto"/>
          </w:tcPr>
          <w:p w14:paraId="58AD62D3" w14:textId="51F06156" w:rsidR="00D8183A" w:rsidRDefault="00D8183A" w:rsidP="00802449">
            <w:pPr>
              <w:pStyle w:val="BodyText"/>
            </w:pPr>
            <w:r>
              <w:t>LHAM1 Issue Tracker</w:t>
            </w:r>
          </w:p>
        </w:tc>
      </w:tr>
      <w:tr w:rsidR="00B05E50" w14:paraId="3E856A54" w14:textId="77777777" w:rsidTr="00760461">
        <w:tc>
          <w:tcPr>
            <w:tcW w:w="1556" w:type="dxa"/>
            <w:shd w:val="clear" w:color="auto" w:fill="auto"/>
          </w:tcPr>
          <w:p w14:paraId="578712F6" w14:textId="4D4A9E9A" w:rsidR="00B05E50" w:rsidRDefault="00F211FB" w:rsidP="00FF105E">
            <w:pPr>
              <w:pStyle w:val="BodyText"/>
            </w:pPr>
            <w:hyperlink r:id="rId56" w:history="1">
              <w:r w:rsidR="00B05E50">
                <w:rPr>
                  <w:rStyle w:val="Hyperlink"/>
                  <w:bdr w:val="none" w:sz="0" w:space="0" w:color="auto"/>
                </w:rPr>
                <w:t>#577</w:t>
              </w:r>
            </w:hyperlink>
          </w:p>
        </w:tc>
        <w:tc>
          <w:tcPr>
            <w:tcW w:w="7898" w:type="dxa"/>
            <w:shd w:val="clear" w:color="auto" w:fill="auto"/>
          </w:tcPr>
          <w:p w14:paraId="73EF4DB7" w14:textId="43393715" w:rsidR="00B05E50" w:rsidRDefault="00B05E50" w:rsidP="00FF105E">
            <w:pPr>
              <w:pStyle w:val="BodyText"/>
            </w:pPr>
            <w:r>
              <w:t xml:space="preserve">LHAM6 table weights are missing </w:t>
            </w:r>
            <w:proofErr w:type="spellStart"/>
            <w:r>
              <w:t>viton</w:t>
            </w:r>
            <w:proofErr w:type="spellEnd"/>
            <w:r>
              <w:t xml:space="preserve"> damping pads</w:t>
            </w:r>
          </w:p>
        </w:tc>
      </w:tr>
      <w:tr w:rsidR="00FE1107" w14:paraId="28551A61" w14:textId="77777777" w:rsidTr="00760461">
        <w:tc>
          <w:tcPr>
            <w:tcW w:w="1556" w:type="dxa"/>
            <w:shd w:val="clear" w:color="auto" w:fill="auto"/>
          </w:tcPr>
          <w:p w14:paraId="400890D5" w14:textId="3DB10AF9" w:rsidR="00FE1107" w:rsidRDefault="00F211FB" w:rsidP="00FF105E">
            <w:pPr>
              <w:pStyle w:val="BodyText"/>
            </w:pPr>
            <w:hyperlink r:id="rId57" w:history="1">
              <w:r w:rsidR="00FF105E">
                <w:rPr>
                  <w:rStyle w:val="Hyperlink"/>
                  <w:bdr w:val="none" w:sz="0" w:space="0" w:color="auto"/>
                </w:rPr>
                <w:t>#668</w:t>
              </w:r>
            </w:hyperlink>
          </w:p>
        </w:tc>
        <w:tc>
          <w:tcPr>
            <w:tcW w:w="7898" w:type="dxa"/>
            <w:shd w:val="clear" w:color="auto" w:fill="auto"/>
          </w:tcPr>
          <w:p w14:paraId="23A91346" w14:textId="05938257" w:rsidR="00FE1107" w:rsidRDefault="00FF105E" w:rsidP="00FF105E">
            <w:pPr>
              <w:pStyle w:val="BodyText"/>
            </w:pPr>
            <w:r>
              <w:t>DC Switch Breaker Box Install in Pier Pod and TCS ISS Power cords.</w:t>
            </w:r>
          </w:p>
        </w:tc>
      </w:tr>
      <w:tr w:rsidR="00FF105E" w14:paraId="3FE6DF3F" w14:textId="77777777" w:rsidTr="00760461">
        <w:tc>
          <w:tcPr>
            <w:tcW w:w="1556" w:type="dxa"/>
            <w:shd w:val="clear" w:color="auto" w:fill="auto"/>
          </w:tcPr>
          <w:p w14:paraId="67A22BBC" w14:textId="77777777" w:rsidR="00FF105E" w:rsidRDefault="00F211FB" w:rsidP="00FF105E">
            <w:pPr>
              <w:pStyle w:val="BodyText"/>
            </w:pPr>
            <w:hyperlink r:id="rId58" w:history="1">
              <w:r w:rsidR="00FF105E">
                <w:rPr>
                  <w:rStyle w:val="Hyperlink"/>
                  <w:bdr w:val="none" w:sz="0" w:space="0" w:color="auto"/>
                </w:rPr>
                <w:t>#741</w:t>
              </w:r>
            </w:hyperlink>
          </w:p>
        </w:tc>
        <w:tc>
          <w:tcPr>
            <w:tcW w:w="7898" w:type="dxa"/>
            <w:shd w:val="clear" w:color="auto" w:fill="auto"/>
          </w:tcPr>
          <w:p w14:paraId="5374B8EB" w14:textId="77777777" w:rsidR="00FF105E" w:rsidRDefault="00FF105E" w:rsidP="00FF105E">
            <w:pPr>
              <w:pStyle w:val="BodyText"/>
            </w:pPr>
            <w:r>
              <w:t xml:space="preserve">ISC tables: Lights and fan status </w:t>
            </w:r>
            <w:proofErr w:type="spellStart"/>
            <w:r>
              <w:t>readback</w:t>
            </w:r>
            <w:proofErr w:type="spellEnd"/>
          </w:p>
        </w:tc>
      </w:tr>
      <w:tr w:rsidR="00A422EC" w14:paraId="4B868471" w14:textId="77777777" w:rsidTr="00A422EC">
        <w:tc>
          <w:tcPr>
            <w:tcW w:w="1556" w:type="dxa"/>
            <w:shd w:val="clear" w:color="auto" w:fill="auto"/>
          </w:tcPr>
          <w:p w14:paraId="4D9E8F38" w14:textId="77777777" w:rsidR="00A422EC" w:rsidRDefault="00F211FB" w:rsidP="00A422EC">
            <w:pPr>
              <w:pStyle w:val="BodyText"/>
            </w:pPr>
            <w:hyperlink r:id="rId59" w:history="1">
              <w:r w:rsidR="00A422EC">
                <w:rPr>
                  <w:rStyle w:val="Hyperlink"/>
                  <w:bdr w:val="none" w:sz="0" w:space="0" w:color="auto"/>
                </w:rPr>
                <w:t>#761</w:t>
              </w:r>
            </w:hyperlink>
          </w:p>
        </w:tc>
        <w:tc>
          <w:tcPr>
            <w:tcW w:w="7898" w:type="dxa"/>
            <w:shd w:val="clear" w:color="auto" w:fill="auto"/>
          </w:tcPr>
          <w:p w14:paraId="56E93441" w14:textId="77777777" w:rsidR="00A422EC" w:rsidRDefault="00A422EC" w:rsidP="00A422EC">
            <w:pPr>
              <w:pStyle w:val="BodyText"/>
            </w:pPr>
            <w:r>
              <w:t>In Situ, Visual Inspections of All Viewport Windows</w:t>
            </w:r>
          </w:p>
        </w:tc>
      </w:tr>
      <w:tr w:rsidR="006A4AA6" w14:paraId="68D10104" w14:textId="77777777" w:rsidTr="00760461">
        <w:tc>
          <w:tcPr>
            <w:tcW w:w="1556" w:type="dxa"/>
            <w:shd w:val="clear" w:color="auto" w:fill="auto"/>
          </w:tcPr>
          <w:p w14:paraId="3C19249A" w14:textId="0B21D48E" w:rsidR="006A4AA6" w:rsidRDefault="00F211FB" w:rsidP="00682ED2">
            <w:pPr>
              <w:pStyle w:val="BodyText"/>
            </w:pPr>
            <w:hyperlink r:id="rId60" w:history="1">
              <w:r w:rsidR="00A422EC">
                <w:rPr>
                  <w:rStyle w:val="Hyperlink"/>
                  <w:bdr w:val="none" w:sz="0" w:space="0" w:color="auto"/>
                </w:rPr>
                <w:t>#771</w:t>
              </w:r>
            </w:hyperlink>
          </w:p>
        </w:tc>
        <w:tc>
          <w:tcPr>
            <w:tcW w:w="7898" w:type="dxa"/>
            <w:shd w:val="clear" w:color="auto" w:fill="auto"/>
          </w:tcPr>
          <w:p w14:paraId="2B9E0921" w14:textId="60E676C8" w:rsidR="006A4AA6" w:rsidRDefault="00A422EC" w:rsidP="00682ED2">
            <w:pPr>
              <w:pStyle w:val="BodyText"/>
            </w:pPr>
            <w:r>
              <w:t>Missing 4 stage 0 to support tubes screws for LHAM1</w:t>
            </w:r>
          </w:p>
        </w:tc>
      </w:tr>
      <w:tr w:rsidR="00FF105E" w14:paraId="13F665FE" w14:textId="77777777" w:rsidTr="00760461">
        <w:tc>
          <w:tcPr>
            <w:tcW w:w="1556" w:type="dxa"/>
            <w:shd w:val="clear" w:color="auto" w:fill="auto"/>
          </w:tcPr>
          <w:p w14:paraId="5D0950B7" w14:textId="501C63EA" w:rsidR="00FF105E" w:rsidRDefault="00F211FB" w:rsidP="00FF105E">
            <w:pPr>
              <w:pStyle w:val="BodyText"/>
            </w:pPr>
            <w:hyperlink r:id="rId61" w:history="1">
              <w:r w:rsidR="00FD74B1">
                <w:rPr>
                  <w:rStyle w:val="Hyperlink"/>
                  <w:bdr w:val="none" w:sz="0" w:space="0" w:color="auto"/>
                </w:rPr>
                <w:t>#837</w:t>
              </w:r>
            </w:hyperlink>
          </w:p>
        </w:tc>
        <w:tc>
          <w:tcPr>
            <w:tcW w:w="7898" w:type="dxa"/>
            <w:shd w:val="clear" w:color="auto" w:fill="auto"/>
          </w:tcPr>
          <w:p w14:paraId="496A7424" w14:textId="2372E583" w:rsidR="00FF105E" w:rsidRDefault="00FD74B1" w:rsidP="00FF105E">
            <w:pPr>
              <w:pStyle w:val="BodyText"/>
            </w:pPr>
            <w:r>
              <w:t>HEPI L4C watchdog trips</w:t>
            </w:r>
          </w:p>
        </w:tc>
      </w:tr>
    </w:tbl>
    <w:p w14:paraId="7BF00814" w14:textId="77777777" w:rsidR="00D34AD7" w:rsidRDefault="00D34AD7" w:rsidP="00D86A81">
      <w:pPr>
        <w:pStyle w:val="BodyText"/>
        <w:rPr>
          <w:i/>
          <w:sz w:val="20"/>
        </w:rPr>
      </w:pPr>
    </w:p>
    <w:sectPr w:rsidR="00D34AD7" w:rsidSect="0067184F">
      <w:headerReference w:type="default" r:id="rId62"/>
      <w:footerReference w:type="default" r:id="rId63"/>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28A2" w14:textId="77777777" w:rsidR="00F211FB" w:rsidRDefault="00F211FB">
      <w:r>
        <w:separator/>
      </w:r>
    </w:p>
  </w:endnote>
  <w:endnote w:type="continuationSeparator" w:id="0">
    <w:p w14:paraId="1AAB26F5" w14:textId="77777777" w:rsidR="00F211FB" w:rsidRDefault="00F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671B54" w:rsidRDefault="00671B54">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2D5B" w14:textId="77777777" w:rsidR="00F211FB" w:rsidRDefault="00F211FB">
      <w:r>
        <w:separator/>
      </w:r>
    </w:p>
  </w:footnote>
  <w:footnote w:type="continuationSeparator" w:id="0">
    <w:p w14:paraId="3A15B8E2" w14:textId="77777777" w:rsidR="00F211FB" w:rsidRDefault="00F2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671B54"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671B54" w:rsidRDefault="00F211FB">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59771014" r:id="rId2"/>
            </w:object>
          </w:r>
        </w:p>
      </w:tc>
      <w:tc>
        <w:tcPr>
          <w:tcW w:w="6482" w:type="dxa"/>
          <w:vMerge w:val="restart"/>
          <w:tcBorders>
            <w:top w:val="single" w:sz="12" w:space="0" w:color="C0C0C0"/>
            <w:bottom w:val="nil"/>
            <w:right w:val="nil"/>
          </w:tcBorders>
        </w:tcPr>
        <w:p w14:paraId="32D8A0ED" w14:textId="77777777" w:rsidR="00671B54" w:rsidRDefault="00671B54" w:rsidP="00DF7DEE">
          <w:pPr>
            <w:pStyle w:val="Header"/>
            <w:jc w:val="left"/>
            <w:rPr>
              <w:b/>
              <w:caps/>
              <w:sz w:val="18"/>
            </w:rPr>
          </w:pPr>
          <w:r>
            <w:rPr>
              <w:b/>
              <w:caps/>
              <w:sz w:val="18"/>
            </w:rPr>
            <w:t>Laser Interferometer Gravitational Wave Observatory</w:t>
          </w:r>
        </w:p>
        <w:p w14:paraId="3BA27AB7" w14:textId="77777777" w:rsidR="00671B54" w:rsidRDefault="00671B54">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3DEB6331" w:rsidR="00671B54" w:rsidRPr="00D639FB" w:rsidRDefault="00671B54" w:rsidP="000A393A">
          <w:pPr>
            <w:pStyle w:val="Header"/>
            <w:spacing w:before="0"/>
            <w:jc w:val="right"/>
            <w:rPr>
              <w:sz w:val="20"/>
            </w:rPr>
          </w:pPr>
          <w:r>
            <w:rPr>
              <w:sz w:val="20"/>
            </w:rPr>
            <w:t>E1400201</w:t>
          </w:r>
        </w:p>
      </w:tc>
      <w:tc>
        <w:tcPr>
          <w:tcW w:w="629" w:type="dxa"/>
          <w:tcBorders>
            <w:top w:val="single" w:sz="12" w:space="0" w:color="C0C0C0"/>
            <w:left w:val="nil"/>
            <w:bottom w:val="nil"/>
            <w:right w:val="single" w:sz="12" w:space="0" w:color="C0C0C0"/>
          </w:tcBorders>
        </w:tcPr>
        <w:p w14:paraId="3F9FD503" w14:textId="29FD5CE3" w:rsidR="00671B54" w:rsidRDefault="00671B54" w:rsidP="00BC07BB">
          <w:pPr>
            <w:pStyle w:val="Header"/>
            <w:spacing w:before="0"/>
            <w:jc w:val="center"/>
            <w:rPr>
              <w:caps/>
              <w:sz w:val="20"/>
            </w:rPr>
          </w:pPr>
          <w:r w:rsidRPr="0065472A">
            <w:rPr>
              <w:sz w:val="20"/>
            </w:rPr>
            <w:t>-</w:t>
          </w:r>
          <w:r>
            <w:rPr>
              <w:sz w:val="20"/>
            </w:rPr>
            <w:t>v1</w:t>
          </w:r>
        </w:p>
      </w:tc>
    </w:tr>
    <w:tr w:rsidR="00671B54" w14:paraId="4A53DF0E" w14:textId="77777777" w:rsidTr="00850E03">
      <w:trPr>
        <w:cantSplit/>
        <w:trHeight w:val="243"/>
      </w:trPr>
      <w:tc>
        <w:tcPr>
          <w:tcW w:w="1618" w:type="dxa"/>
          <w:vMerge/>
          <w:tcBorders>
            <w:left w:val="single" w:sz="12" w:space="0" w:color="C0C0C0"/>
          </w:tcBorders>
        </w:tcPr>
        <w:p w14:paraId="49A482C5" w14:textId="580285B4" w:rsidR="00671B54" w:rsidRDefault="00671B54">
          <w:pPr>
            <w:pStyle w:val="Header"/>
            <w:jc w:val="center"/>
            <w:rPr>
              <w:noProof/>
              <w:sz w:val="20"/>
            </w:rPr>
          </w:pPr>
        </w:p>
      </w:tc>
      <w:tc>
        <w:tcPr>
          <w:tcW w:w="6482" w:type="dxa"/>
          <w:vMerge/>
          <w:tcBorders>
            <w:top w:val="nil"/>
            <w:bottom w:val="nil"/>
            <w:right w:val="nil"/>
          </w:tcBorders>
        </w:tcPr>
        <w:p w14:paraId="47398F37" w14:textId="77777777" w:rsidR="00671B54" w:rsidRDefault="00671B54">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671B54" w:rsidRDefault="00671B54"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671B54" w:rsidRDefault="00671B54" w:rsidP="00850E03">
          <w:pPr>
            <w:pStyle w:val="Header"/>
            <w:spacing w:before="0"/>
            <w:ind w:left="-72"/>
            <w:jc w:val="right"/>
            <w:rPr>
              <w:b/>
              <w:caps/>
            </w:rPr>
          </w:pPr>
          <w:r>
            <w:rPr>
              <w:rFonts w:ascii="Arial Narrow" w:hAnsi="Arial Narrow"/>
              <w:b/>
              <w:sz w:val="16"/>
            </w:rPr>
            <w:t>Rev.</w:t>
          </w:r>
        </w:p>
      </w:tc>
    </w:tr>
    <w:tr w:rsidR="00671B54" w14:paraId="4E81EA53" w14:textId="77777777" w:rsidTr="00850E03">
      <w:trPr>
        <w:cantSplit/>
        <w:trHeight w:val="349"/>
      </w:trPr>
      <w:tc>
        <w:tcPr>
          <w:tcW w:w="1618" w:type="dxa"/>
          <w:vMerge/>
          <w:tcBorders>
            <w:left w:val="single" w:sz="12" w:space="0" w:color="C0C0C0"/>
            <w:bottom w:val="nil"/>
          </w:tcBorders>
        </w:tcPr>
        <w:p w14:paraId="0EA0FA6D" w14:textId="77777777" w:rsidR="00671B54" w:rsidRDefault="00671B54">
          <w:pPr>
            <w:pStyle w:val="Header"/>
            <w:jc w:val="center"/>
            <w:rPr>
              <w:noProof/>
              <w:sz w:val="20"/>
            </w:rPr>
          </w:pPr>
        </w:p>
      </w:tc>
      <w:tc>
        <w:tcPr>
          <w:tcW w:w="6482" w:type="dxa"/>
          <w:vMerge/>
          <w:tcBorders>
            <w:top w:val="nil"/>
            <w:bottom w:val="nil"/>
            <w:right w:val="nil"/>
          </w:tcBorders>
        </w:tcPr>
        <w:p w14:paraId="50B3CF02" w14:textId="77777777" w:rsidR="00671B54" w:rsidRDefault="00671B54">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671B54" w:rsidRDefault="00671B54">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4BA60772" w:rsidR="00671B54" w:rsidRDefault="003B7F4F" w:rsidP="005011A6">
          <w:pPr>
            <w:pStyle w:val="Header"/>
            <w:jc w:val="center"/>
            <w:rPr>
              <w:sz w:val="20"/>
            </w:rPr>
          </w:pPr>
          <w:r>
            <w:rPr>
              <w:sz w:val="20"/>
            </w:rPr>
            <w:t>23</w:t>
          </w:r>
          <w:r w:rsidR="00671B54">
            <w:rPr>
              <w:sz w:val="20"/>
            </w:rPr>
            <w:t xml:space="preserve"> Apr 2014</w:t>
          </w:r>
        </w:p>
      </w:tc>
    </w:tr>
    <w:tr w:rsidR="00671B54" w14:paraId="5C3C928C" w14:textId="77777777" w:rsidTr="00DF7DEE">
      <w:trPr>
        <w:cantSplit/>
        <w:trHeight w:val="349"/>
      </w:trPr>
      <w:tc>
        <w:tcPr>
          <w:tcW w:w="1618" w:type="dxa"/>
          <w:vMerge/>
          <w:tcBorders>
            <w:left w:val="single" w:sz="12" w:space="0" w:color="C0C0C0"/>
            <w:bottom w:val="nil"/>
          </w:tcBorders>
        </w:tcPr>
        <w:p w14:paraId="69075BE0" w14:textId="77777777" w:rsidR="00671B54" w:rsidRDefault="00671B54">
          <w:pPr>
            <w:pStyle w:val="Header"/>
            <w:jc w:val="center"/>
            <w:rPr>
              <w:noProof/>
              <w:sz w:val="20"/>
            </w:rPr>
          </w:pPr>
        </w:p>
      </w:tc>
      <w:tc>
        <w:tcPr>
          <w:tcW w:w="6482" w:type="dxa"/>
          <w:vMerge/>
          <w:tcBorders>
            <w:top w:val="nil"/>
            <w:bottom w:val="nil"/>
            <w:right w:val="nil"/>
          </w:tcBorders>
        </w:tcPr>
        <w:p w14:paraId="5A5C8587" w14:textId="77777777" w:rsidR="00671B54" w:rsidRDefault="00671B54">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671B54" w:rsidRDefault="00671B54">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062562">
            <w:rPr>
              <w:rStyle w:val="PageNumber"/>
              <w:noProof/>
            </w:rPr>
            <w:t>6</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062562">
            <w:rPr>
              <w:rStyle w:val="PageNumber"/>
              <w:noProof/>
            </w:rPr>
            <w:t>6</w:t>
          </w:r>
          <w:r>
            <w:rPr>
              <w:rStyle w:val="PageNumber"/>
            </w:rPr>
            <w:fldChar w:fldCharType="end"/>
          </w:r>
        </w:p>
      </w:tc>
    </w:tr>
    <w:tr w:rsidR="00671B54"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154C2A0D" w:rsidR="00671B54" w:rsidRDefault="00671B54" w:rsidP="000A393A">
          <w:pPr>
            <w:rPr>
              <w:b/>
              <w:sz w:val="32"/>
            </w:rPr>
          </w:pPr>
          <w:r>
            <w:rPr>
              <w:b/>
              <w:sz w:val="32"/>
            </w:rPr>
            <w:t xml:space="preserve">Title: aLIGO Installation Acceptance Document for </w:t>
          </w:r>
          <w:r w:rsidRPr="004872B7">
            <w:rPr>
              <w:b/>
              <w:sz w:val="32"/>
            </w:rPr>
            <w:t>LHAM1</w:t>
          </w:r>
        </w:p>
      </w:tc>
    </w:tr>
  </w:tbl>
  <w:p w14:paraId="2B6CF4CC" w14:textId="77777777" w:rsidR="00671B54" w:rsidRDefault="00671B5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359E"/>
    <w:rsid w:val="0000583B"/>
    <w:rsid w:val="00010560"/>
    <w:rsid w:val="000122D1"/>
    <w:rsid w:val="00015BCE"/>
    <w:rsid w:val="000170AC"/>
    <w:rsid w:val="00017993"/>
    <w:rsid w:val="00025545"/>
    <w:rsid w:val="000259F7"/>
    <w:rsid w:val="000263C9"/>
    <w:rsid w:val="000437CE"/>
    <w:rsid w:val="000450B9"/>
    <w:rsid w:val="000548E4"/>
    <w:rsid w:val="00054C90"/>
    <w:rsid w:val="000556E6"/>
    <w:rsid w:val="00055E34"/>
    <w:rsid w:val="00056110"/>
    <w:rsid w:val="00060524"/>
    <w:rsid w:val="00062562"/>
    <w:rsid w:val="00064DED"/>
    <w:rsid w:val="0007268A"/>
    <w:rsid w:val="00077AF8"/>
    <w:rsid w:val="00081841"/>
    <w:rsid w:val="000870D8"/>
    <w:rsid w:val="000912AA"/>
    <w:rsid w:val="00092C8D"/>
    <w:rsid w:val="000A0B4A"/>
    <w:rsid w:val="000A393A"/>
    <w:rsid w:val="000A5CBF"/>
    <w:rsid w:val="000B6873"/>
    <w:rsid w:val="000B72E7"/>
    <w:rsid w:val="000B7654"/>
    <w:rsid w:val="000D1E80"/>
    <w:rsid w:val="000D20B7"/>
    <w:rsid w:val="000D239C"/>
    <w:rsid w:val="000D5DEB"/>
    <w:rsid w:val="000F24A5"/>
    <w:rsid w:val="000F26F1"/>
    <w:rsid w:val="000F35EF"/>
    <w:rsid w:val="000F3F03"/>
    <w:rsid w:val="000F6442"/>
    <w:rsid w:val="000F6CF9"/>
    <w:rsid w:val="001170CC"/>
    <w:rsid w:val="001250AF"/>
    <w:rsid w:val="00125237"/>
    <w:rsid w:val="00130874"/>
    <w:rsid w:val="00132B53"/>
    <w:rsid w:val="0014642B"/>
    <w:rsid w:val="00155BAE"/>
    <w:rsid w:val="0015734E"/>
    <w:rsid w:val="00166042"/>
    <w:rsid w:val="0017159C"/>
    <w:rsid w:val="001739D8"/>
    <w:rsid w:val="001A22C6"/>
    <w:rsid w:val="001A43AF"/>
    <w:rsid w:val="001B28BF"/>
    <w:rsid w:val="001B6BB2"/>
    <w:rsid w:val="001D7449"/>
    <w:rsid w:val="001E53F0"/>
    <w:rsid w:val="001E5AA3"/>
    <w:rsid w:val="001F2686"/>
    <w:rsid w:val="002043EC"/>
    <w:rsid w:val="00207279"/>
    <w:rsid w:val="00207EAE"/>
    <w:rsid w:val="002133C4"/>
    <w:rsid w:val="002157DD"/>
    <w:rsid w:val="00217511"/>
    <w:rsid w:val="00223042"/>
    <w:rsid w:val="00235D2E"/>
    <w:rsid w:val="002433E4"/>
    <w:rsid w:val="00245383"/>
    <w:rsid w:val="002463C5"/>
    <w:rsid w:val="00250E58"/>
    <w:rsid w:val="00262881"/>
    <w:rsid w:val="00263750"/>
    <w:rsid w:val="00263835"/>
    <w:rsid w:val="00263B2A"/>
    <w:rsid w:val="00263EDA"/>
    <w:rsid w:val="002651A0"/>
    <w:rsid w:val="0026605F"/>
    <w:rsid w:val="00271A66"/>
    <w:rsid w:val="00272AC8"/>
    <w:rsid w:val="00295BC5"/>
    <w:rsid w:val="0029696F"/>
    <w:rsid w:val="002B314D"/>
    <w:rsid w:val="002C3074"/>
    <w:rsid w:val="002C4FE3"/>
    <w:rsid w:val="002C7C53"/>
    <w:rsid w:val="002D5015"/>
    <w:rsid w:val="002D72E2"/>
    <w:rsid w:val="002E20FA"/>
    <w:rsid w:val="002E5F10"/>
    <w:rsid w:val="002E7324"/>
    <w:rsid w:val="002F529F"/>
    <w:rsid w:val="002F5D43"/>
    <w:rsid w:val="002F61CC"/>
    <w:rsid w:val="00310C57"/>
    <w:rsid w:val="00310D2E"/>
    <w:rsid w:val="00310F76"/>
    <w:rsid w:val="003123EC"/>
    <w:rsid w:val="00314048"/>
    <w:rsid w:val="003250F2"/>
    <w:rsid w:val="0032651F"/>
    <w:rsid w:val="0033347E"/>
    <w:rsid w:val="00340D46"/>
    <w:rsid w:val="00343D7A"/>
    <w:rsid w:val="00352435"/>
    <w:rsid w:val="0035367D"/>
    <w:rsid w:val="0035413D"/>
    <w:rsid w:val="00362DDF"/>
    <w:rsid w:val="00374719"/>
    <w:rsid w:val="00380849"/>
    <w:rsid w:val="003827B2"/>
    <w:rsid w:val="003938A5"/>
    <w:rsid w:val="00393F8A"/>
    <w:rsid w:val="003B01A0"/>
    <w:rsid w:val="003B0F38"/>
    <w:rsid w:val="003B28DC"/>
    <w:rsid w:val="003B5D98"/>
    <w:rsid w:val="003B7F4F"/>
    <w:rsid w:val="003C2C3E"/>
    <w:rsid w:val="003C320B"/>
    <w:rsid w:val="003C4CA9"/>
    <w:rsid w:val="003D099E"/>
    <w:rsid w:val="003D72B6"/>
    <w:rsid w:val="003E1558"/>
    <w:rsid w:val="003E2B63"/>
    <w:rsid w:val="003E417B"/>
    <w:rsid w:val="003F026B"/>
    <w:rsid w:val="003F443D"/>
    <w:rsid w:val="003F513B"/>
    <w:rsid w:val="003F51E1"/>
    <w:rsid w:val="003F5627"/>
    <w:rsid w:val="003F7725"/>
    <w:rsid w:val="003F7ACD"/>
    <w:rsid w:val="004066EC"/>
    <w:rsid w:val="00414667"/>
    <w:rsid w:val="00421C60"/>
    <w:rsid w:val="004420D6"/>
    <w:rsid w:val="00444286"/>
    <w:rsid w:val="00446E2E"/>
    <w:rsid w:val="00450753"/>
    <w:rsid w:val="00452B75"/>
    <w:rsid w:val="00462ACB"/>
    <w:rsid w:val="00472658"/>
    <w:rsid w:val="00472831"/>
    <w:rsid w:val="004777B8"/>
    <w:rsid w:val="00481D39"/>
    <w:rsid w:val="00486F6A"/>
    <w:rsid w:val="004872B7"/>
    <w:rsid w:val="00490C0A"/>
    <w:rsid w:val="00490DF2"/>
    <w:rsid w:val="004A5138"/>
    <w:rsid w:val="004A5B08"/>
    <w:rsid w:val="004B0ED2"/>
    <w:rsid w:val="004C43F9"/>
    <w:rsid w:val="004C6B77"/>
    <w:rsid w:val="004C7CB5"/>
    <w:rsid w:val="004D0B06"/>
    <w:rsid w:val="004D13B5"/>
    <w:rsid w:val="004E3305"/>
    <w:rsid w:val="004E6D01"/>
    <w:rsid w:val="004F044F"/>
    <w:rsid w:val="004F0777"/>
    <w:rsid w:val="004F08CC"/>
    <w:rsid w:val="004F2444"/>
    <w:rsid w:val="004F47C2"/>
    <w:rsid w:val="005011A6"/>
    <w:rsid w:val="00504C03"/>
    <w:rsid w:val="005129C5"/>
    <w:rsid w:val="0052110B"/>
    <w:rsid w:val="00524944"/>
    <w:rsid w:val="00525725"/>
    <w:rsid w:val="00525DF9"/>
    <w:rsid w:val="00526030"/>
    <w:rsid w:val="005266C2"/>
    <w:rsid w:val="00527E36"/>
    <w:rsid w:val="0053535E"/>
    <w:rsid w:val="00545A3E"/>
    <w:rsid w:val="00560562"/>
    <w:rsid w:val="00563D5B"/>
    <w:rsid w:val="00566196"/>
    <w:rsid w:val="00571996"/>
    <w:rsid w:val="0058540C"/>
    <w:rsid w:val="0058585D"/>
    <w:rsid w:val="00585D7F"/>
    <w:rsid w:val="0059040F"/>
    <w:rsid w:val="00590D06"/>
    <w:rsid w:val="0059115D"/>
    <w:rsid w:val="00591E5D"/>
    <w:rsid w:val="005931E8"/>
    <w:rsid w:val="00595235"/>
    <w:rsid w:val="005962A7"/>
    <w:rsid w:val="005A0B53"/>
    <w:rsid w:val="005A4984"/>
    <w:rsid w:val="005B0F5D"/>
    <w:rsid w:val="005B1442"/>
    <w:rsid w:val="005B309E"/>
    <w:rsid w:val="005C640A"/>
    <w:rsid w:val="005D07FD"/>
    <w:rsid w:val="005D248C"/>
    <w:rsid w:val="005D3472"/>
    <w:rsid w:val="005D5FFB"/>
    <w:rsid w:val="005E253D"/>
    <w:rsid w:val="005E2FF4"/>
    <w:rsid w:val="005F065F"/>
    <w:rsid w:val="00602701"/>
    <w:rsid w:val="00605798"/>
    <w:rsid w:val="006128E7"/>
    <w:rsid w:val="00613C78"/>
    <w:rsid w:val="0061632B"/>
    <w:rsid w:val="00624C9D"/>
    <w:rsid w:val="00627336"/>
    <w:rsid w:val="006441DE"/>
    <w:rsid w:val="006500AC"/>
    <w:rsid w:val="0065472A"/>
    <w:rsid w:val="00656E8A"/>
    <w:rsid w:val="00664863"/>
    <w:rsid w:val="00667A6C"/>
    <w:rsid w:val="0067184F"/>
    <w:rsid w:val="00671B54"/>
    <w:rsid w:val="006802E5"/>
    <w:rsid w:val="00682ED2"/>
    <w:rsid w:val="00692981"/>
    <w:rsid w:val="00695E34"/>
    <w:rsid w:val="0069789B"/>
    <w:rsid w:val="006A4AA6"/>
    <w:rsid w:val="006A6C75"/>
    <w:rsid w:val="006B2481"/>
    <w:rsid w:val="006B3E7B"/>
    <w:rsid w:val="006B5111"/>
    <w:rsid w:val="006B6E19"/>
    <w:rsid w:val="006B7053"/>
    <w:rsid w:val="006C140A"/>
    <w:rsid w:val="006C1DC5"/>
    <w:rsid w:val="006C498B"/>
    <w:rsid w:val="006D1251"/>
    <w:rsid w:val="006D1C41"/>
    <w:rsid w:val="006D3E60"/>
    <w:rsid w:val="006E2262"/>
    <w:rsid w:val="006E5228"/>
    <w:rsid w:val="006F3D59"/>
    <w:rsid w:val="006F434A"/>
    <w:rsid w:val="006F6727"/>
    <w:rsid w:val="006F7510"/>
    <w:rsid w:val="007059F5"/>
    <w:rsid w:val="007066B4"/>
    <w:rsid w:val="00711DEE"/>
    <w:rsid w:val="00714E98"/>
    <w:rsid w:val="0072429F"/>
    <w:rsid w:val="00727713"/>
    <w:rsid w:val="00730EA1"/>
    <w:rsid w:val="007337C7"/>
    <w:rsid w:val="00744738"/>
    <w:rsid w:val="007514C1"/>
    <w:rsid w:val="00754EE0"/>
    <w:rsid w:val="00755631"/>
    <w:rsid w:val="00757114"/>
    <w:rsid w:val="00757B0A"/>
    <w:rsid w:val="00760461"/>
    <w:rsid w:val="00770A63"/>
    <w:rsid w:val="00773CA9"/>
    <w:rsid w:val="007816E1"/>
    <w:rsid w:val="00782491"/>
    <w:rsid w:val="0078448B"/>
    <w:rsid w:val="007876E7"/>
    <w:rsid w:val="00791349"/>
    <w:rsid w:val="00793DBD"/>
    <w:rsid w:val="007946CF"/>
    <w:rsid w:val="0079525D"/>
    <w:rsid w:val="007978FA"/>
    <w:rsid w:val="007A18E3"/>
    <w:rsid w:val="007A1D46"/>
    <w:rsid w:val="007A253B"/>
    <w:rsid w:val="007A460F"/>
    <w:rsid w:val="007B21AC"/>
    <w:rsid w:val="007B2CD2"/>
    <w:rsid w:val="007B4DFA"/>
    <w:rsid w:val="007B7DA2"/>
    <w:rsid w:val="007C03AB"/>
    <w:rsid w:val="007C3E1A"/>
    <w:rsid w:val="007C4C60"/>
    <w:rsid w:val="007C5469"/>
    <w:rsid w:val="007C724C"/>
    <w:rsid w:val="007D3F59"/>
    <w:rsid w:val="007D5348"/>
    <w:rsid w:val="007D62A2"/>
    <w:rsid w:val="007E631D"/>
    <w:rsid w:val="007F45CD"/>
    <w:rsid w:val="007F6339"/>
    <w:rsid w:val="0080281C"/>
    <w:rsid w:val="0080370A"/>
    <w:rsid w:val="00803919"/>
    <w:rsid w:val="00805883"/>
    <w:rsid w:val="00805CB4"/>
    <w:rsid w:val="008063CF"/>
    <w:rsid w:val="008110A3"/>
    <w:rsid w:val="00811949"/>
    <w:rsid w:val="00812F39"/>
    <w:rsid w:val="008152AE"/>
    <w:rsid w:val="00821527"/>
    <w:rsid w:val="00826220"/>
    <w:rsid w:val="00834A15"/>
    <w:rsid w:val="00841324"/>
    <w:rsid w:val="00843733"/>
    <w:rsid w:val="008460CD"/>
    <w:rsid w:val="00850E03"/>
    <w:rsid w:val="00856D5F"/>
    <w:rsid w:val="00857D17"/>
    <w:rsid w:val="00861084"/>
    <w:rsid w:val="0086113F"/>
    <w:rsid w:val="00861524"/>
    <w:rsid w:val="00861D23"/>
    <w:rsid w:val="00877DCD"/>
    <w:rsid w:val="0088196E"/>
    <w:rsid w:val="00884079"/>
    <w:rsid w:val="00887C52"/>
    <w:rsid w:val="00894755"/>
    <w:rsid w:val="008A094C"/>
    <w:rsid w:val="008A4983"/>
    <w:rsid w:val="008B2A30"/>
    <w:rsid w:val="008C4CBD"/>
    <w:rsid w:val="008C518C"/>
    <w:rsid w:val="008D0C65"/>
    <w:rsid w:val="008D1044"/>
    <w:rsid w:val="008D253A"/>
    <w:rsid w:val="008D5238"/>
    <w:rsid w:val="008D60F3"/>
    <w:rsid w:val="008E2940"/>
    <w:rsid w:val="008E37B6"/>
    <w:rsid w:val="008E558C"/>
    <w:rsid w:val="008E7B83"/>
    <w:rsid w:val="008F114A"/>
    <w:rsid w:val="008F1B4C"/>
    <w:rsid w:val="008F2AE2"/>
    <w:rsid w:val="00903912"/>
    <w:rsid w:val="009060DE"/>
    <w:rsid w:val="0091620D"/>
    <w:rsid w:val="0092072C"/>
    <w:rsid w:val="00922781"/>
    <w:rsid w:val="00931558"/>
    <w:rsid w:val="00934218"/>
    <w:rsid w:val="00935C8D"/>
    <w:rsid w:val="009518A8"/>
    <w:rsid w:val="009530A4"/>
    <w:rsid w:val="00954AD0"/>
    <w:rsid w:val="00956732"/>
    <w:rsid w:val="00970F3A"/>
    <w:rsid w:val="00971D92"/>
    <w:rsid w:val="009749FB"/>
    <w:rsid w:val="0097623B"/>
    <w:rsid w:val="0098042C"/>
    <w:rsid w:val="00980E80"/>
    <w:rsid w:val="0098108A"/>
    <w:rsid w:val="00984AD3"/>
    <w:rsid w:val="00992EF8"/>
    <w:rsid w:val="00995285"/>
    <w:rsid w:val="009A63E4"/>
    <w:rsid w:val="009B56BE"/>
    <w:rsid w:val="009B6B0A"/>
    <w:rsid w:val="009C0698"/>
    <w:rsid w:val="009C5FA3"/>
    <w:rsid w:val="009C78A6"/>
    <w:rsid w:val="009E1B6F"/>
    <w:rsid w:val="009E70B8"/>
    <w:rsid w:val="009F49E9"/>
    <w:rsid w:val="00A06BDC"/>
    <w:rsid w:val="00A14777"/>
    <w:rsid w:val="00A15613"/>
    <w:rsid w:val="00A158BE"/>
    <w:rsid w:val="00A179F2"/>
    <w:rsid w:val="00A2024D"/>
    <w:rsid w:val="00A304F5"/>
    <w:rsid w:val="00A31D33"/>
    <w:rsid w:val="00A34FBB"/>
    <w:rsid w:val="00A422EC"/>
    <w:rsid w:val="00A4245D"/>
    <w:rsid w:val="00A446DC"/>
    <w:rsid w:val="00A45C58"/>
    <w:rsid w:val="00A65547"/>
    <w:rsid w:val="00A65D21"/>
    <w:rsid w:val="00A74827"/>
    <w:rsid w:val="00A75202"/>
    <w:rsid w:val="00A76AE0"/>
    <w:rsid w:val="00A76CEA"/>
    <w:rsid w:val="00A81B23"/>
    <w:rsid w:val="00A823BE"/>
    <w:rsid w:val="00A85C9C"/>
    <w:rsid w:val="00A91535"/>
    <w:rsid w:val="00AA5E25"/>
    <w:rsid w:val="00AA7818"/>
    <w:rsid w:val="00AB1945"/>
    <w:rsid w:val="00AB2098"/>
    <w:rsid w:val="00AB2402"/>
    <w:rsid w:val="00AB6E4E"/>
    <w:rsid w:val="00AC0793"/>
    <w:rsid w:val="00AC4237"/>
    <w:rsid w:val="00AC766C"/>
    <w:rsid w:val="00AD357F"/>
    <w:rsid w:val="00AD374F"/>
    <w:rsid w:val="00AD4A31"/>
    <w:rsid w:val="00AD58C7"/>
    <w:rsid w:val="00AD7E9D"/>
    <w:rsid w:val="00AE0D79"/>
    <w:rsid w:val="00AE14DC"/>
    <w:rsid w:val="00AE4A00"/>
    <w:rsid w:val="00AE79A3"/>
    <w:rsid w:val="00AF25C1"/>
    <w:rsid w:val="00AF4E15"/>
    <w:rsid w:val="00AF5C7A"/>
    <w:rsid w:val="00B00EC3"/>
    <w:rsid w:val="00B021CA"/>
    <w:rsid w:val="00B05E50"/>
    <w:rsid w:val="00B11303"/>
    <w:rsid w:val="00B164DC"/>
    <w:rsid w:val="00B225A1"/>
    <w:rsid w:val="00B225D2"/>
    <w:rsid w:val="00B259D2"/>
    <w:rsid w:val="00B30165"/>
    <w:rsid w:val="00B30BB1"/>
    <w:rsid w:val="00B323FF"/>
    <w:rsid w:val="00B32DC0"/>
    <w:rsid w:val="00B346B9"/>
    <w:rsid w:val="00B378D6"/>
    <w:rsid w:val="00B415BD"/>
    <w:rsid w:val="00B41BB9"/>
    <w:rsid w:val="00B4520E"/>
    <w:rsid w:val="00B461CD"/>
    <w:rsid w:val="00B4722D"/>
    <w:rsid w:val="00B52213"/>
    <w:rsid w:val="00B53507"/>
    <w:rsid w:val="00B53B43"/>
    <w:rsid w:val="00B56816"/>
    <w:rsid w:val="00B6106A"/>
    <w:rsid w:val="00B62A3E"/>
    <w:rsid w:val="00B632E5"/>
    <w:rsid w:val="00B70FC2"/>
    <w:rsid w:val="00B761FC"/>
    <w:rsid w:val="00B772AA"/>
    <w:rsid w:val="00B773A5"/>
    <w:rsid w:val="00B7762A"/>
    <w:rsid w:val="00B80071"/>
    <w:rsid w:val="00B80D89"/>
    <w:rsid w:val="00B81101"/>
    <w:rsid w:val="00B843A3"/>
    <w:rsid w:val="00B92BDC"/>
    <w:rsid w:val="00BA001E"/>
    <w:rsid w:val="00BA0A09"/>
    <w:rsid w:val="00BC07BB"/>
    <w:rsid w:val="00BC0B55"/>
    <w:rsid w:val="00BC2FCF"/>
    <w:rsid w:val="00BC553F"/>
    <w:rsid w:val="00BD228C"/>
    <w:rsid w:val="00BE01F8"/>
    <w:rsid w:val="00BE1988"/>
    <w:rsid w:val="00BF2A83"/>
    <w:rsid w:val="00BF3247"/>
    <w:rsid w:val="00C03703"/>
    <w:rsid w:val="00C05869"/>
    <w:rsid w:val="00C06ED2"/>
    <w:rsid w:val="00C25602"/>
    <w:rsid w:val="00C26FC4"/>
    <w:rsid w:val="00C41B39"/>
    <w:rsid w:val="00C47407"/>
    <w:rsid w:val="00C62589"/>
    <w:rsid w:val="00C72213"/>
    <w:rsid w:val="00C72555"/>
    <w:rsid w:val="00C77E51"/>
    <w:rsid w:val="00C83ECD"/>
    <w:rsid w:val="00C87BC5"/>
    <w:rsid w:val="00C90C9A"/>
    <w:rsid w:val="00C95E72"/>
    <w:rsid w:val="00C95EAA"/>
    <w:rsid w:val="00C95F1E"/>
    <w:rsid w:val="00CA10B5"/>
    <w:rsid w:val="00CA1526"/>
    <w:rsid w:val="00CA1A78"/>
    <w:rsid w:val="00CA30E7"/>
    <w:rsid w:val="00CA3F9D"/>
    <w:rsid w:val="00CB0D50"/>
    <w:rsid w:val="00CB436B"/>
    <w:rsid w:val="00CB595B"/>
    <w:rsid w:val="00CB7620"/>
    <w:rsid w:val="00CC110C"/>
    <w:rsid w:val="00CC3365"/>
    <w:rsid w:val="00CC3A42"/>
    <w:rsid w:val="00CC3A89"/>
    <w:rsid w:val="00CD1A12"/>
    <w:rsid w:val="00CD3D02"/>
    <w:rsid w:val="00CD47F5"/>
    <w:rsid w:val="00CD72F0"/>
    <w:rsid w:val="00CE0AF1"/>
    <w:rsid w:val="00CE3712"/>
    <w:rsid w:val="00CE3B40"/>
    <w:rsid w:val="00CE3F05"/>
    <w:rsid w:val="00CE4E44"/>
    <w:rsid w:val="00CE6312"/>
    <w:rsid w:val="00CE7C28"/>
    <w:rsid w:val="00CF08F2"/>
    <w:rsid w:val="00D00A97"/>
    <w:rsid w:val="00D1066B"/>
    <w:rsid w:val="00D17474"/>
    <w:rsid w:val="00D2404E"/>
    <w:rsid w:val="00D2438C"/>
    <w:rsid w:val="00D3113E"/>
    <w:rsid w:val="00D33DCA"/>
    <w:rsid w:val="00D34AD7"/>
    <w:rsid w:val="00D3652C"/>
    <w:rsid w:val="00D44C03"/>
    <w:rsid w:val="00D503D0"/>
    <w:rsid w:val="00D639FB"/>
    <w:rsid w:val="00D64BFE"/>
    <w:rsid w:val="00D72459"/>
    <w:rsid w:val="00D73577"/>
    <w:rsid w:val="00D769CF"/>
    <w:rsid w:val="00D8183A"/>
    <w:rsid w:val="00D819DF"/>
    <w:rsid w:val="00D85692"/>
    <w:rsid w:val="00D86A81"/>
    <w:rsid w:val="00DA05FB"/>
    <w:rsid w:val="00DB5C27"/>
    <w:rsid w:val="00DB641E"/>
    <w:rsid w:val="00DC379D"/>
    <w:rsid w:val="00DC47CA"/>
    <w:rsid w:val="00DD14BE"/>
    <w:rsid w:val="00DD7D85"/>
    <w:rsid w:val="00DE2BD1"/>
    <w:rsid w:val="00DE60F2"/>
    <w:rsid w:val="00DE68B2"/>
    <w:rsid w:val="00DF148C"/>
    <w:rsid w:val="00DF5AC9"/>
    <w:rsid w:val="00DF6C1D"/>
    <w:rsid w:val="00DF6D9E"/>
    <w:rsid w:val="00DF75F8"/>
    <w:rsid w:val="00DF7DEE"/>
    <w:rsid w:val="00E02645"/>
    <w:rsid w:val="00E13F01"/>
    <w:rsid w:val="00E169DA"/>
    <w:rsid w:val="00E216DC"/>
    <w:rsid w:val="00E2229D"/>
    <w:rsid w:val="00E2454D"/>
    <w:rsid w:val="00E27B7F"/>
    <w:rsid w:val="00E300C9"/>
    <w:rsid w:val="00E3194B"/>
    <w:rsid w:val="00E4265E"/>
    <w:rsid w:val="00E53F86"/>
    <w:rsid w:val="00E64535"/>
    <w:rsid w:val="00E70211"/>
    <w:rsid w:val="00E715FF"/>
    <w:rsid w:val="00E716D3"/>
    <w:rsid w:val="00E748E1"/>
    <w:rsid w:val="00E841EC"/>
    <w:rsid w:val="00E91176"/>
    <w:rsid w:val="00EA3272"/>
    <w:rsid w:val="00EA643D"/>
    <w:rsid w:val="00EB2A03"/>
    <w:rsid w:val="00EB3765"/>
    <w:rsid w:val="00EB6EF1"/>
    <w:rsid w:val="00EC0DBD"/>
    <w:rsid w:val="00EC4C85"/>
    <w:rsid w:val="00ED4026"/>
    <w:rsid w:val="00EE3F94"/>
    <w:rsid w:val="00EE64B5"/>
    <w:rsid w:val="00EE65EC"/>
    <w:rsid w:val="00EF30C7"/>
    <w:rsid w:val="00EF6F2F"/>
    <w:rsid w:val="00EF707B"/>
    <w:rsid w:val="00EF7300"/>
    <w:rsid w:val="00F00F62"/>
    <w:rsid w:val="00F03E0B"/>
    <w:rsid w:val="00F07A7B"/>
    <w:rsid w:val="00F1186A"/>
    <w:rsid w:val="00F211FB"/>
    <w:rsid w:val="00F212A0"/>
    <w:rsid w:val="00F2227E"/>
    <w:rsid w:val="00F22B42"/>
    <w:rsid w:val="00F2502F"/>
    <w:rsid w:val="00F25374"/>
    <w:rsid w:val="00F41312"/>
    <w:rsid w:val="00F419A3"/>
    <w:rsid w:val="00F41D4B"/>
    <w:rsid w:val="00F60CA6"/>
    <w:rsid w:val="00F6263F"/>
    <w:rsid w:val="00F6705A"/>
    <w:rsid w:val="00F761C5"/>
    <w:rsid w:val="00F85111"/>
    <w:rsid w:val="00F86574"/>
    <w:rsid w:val="00FB58CC"/>
    <w:rsid w:val="00FB6270"/>
    <w:rsid w:val="00FB7E1F"/>
    <w:rsid w:val="00FC1387"/>
    <w:rsid w:val="00FC4888"/>
    <w:rsid w:val="00FC58B8"/>
    <w:rsid w:val="00FC717B"/>
    <w:rsid w:val="00FD1759"/>
    <w:rsid w:val="00FD1F69"/>
    <w:rsid w:val="00FD65ED"/>
    <w:rsid w:val="00FD74B1"/>
    <w:rsid w:val="00FD7E87"/>
    <w:rsid w:val="00FE1107"/>
    <w:rsid w:val="00FE3832"/>
    <w:rsid w:val="00FE3B51"/>
    <w:rsid w:val="00FE4641"/>
    <w:rsid w:val="00FF044E"/>
    <w:rsid w:val="00FF105E"/>
    <w:rsid w:val="00FF3BE1"/>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D283DF7B-3CFE-47F2-A6CD-311B56C8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310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540361758">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840">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09412798">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og.ligo-la.caltech.edu/aLOG/index.php?callRep=6369" TargetMode="External"/><Relationship Id="rId18" Type="http://schemas.openxmlformats.org/officeDocument/2006/relationships/hyperlink" Target="https://dcc.ligo.org/LIGO-E1100782" TargetMode="External"/><Relationship Id="rId26" Type="http://schemas.openxmlformats.org/officeDocument/2006/relationships/hyperlink" Target="https://dcc.ligo.org/T0900520" TargetMode="External"/><Relationship Id="rId39" Type="http://schemas.openxmlformats.org/officeDocument/2006/relationships/hyperlink" Target="https://services.ligo-wa.caltech.edu/integrationissues/show_bug.cgi?id=96" TargetMode="External"/><Relationship Id="rId21" Type="http://schemas.openxmlformats.org/officeDocument/2006/relationships/hyperlink" Target="https://dcc.ligo.org/LIGO-D0901466" TargetMode="External"/><Relationship Id="rId34" Type="http://schemas.openxmlformats.org/officeDocument/2006/relationships/hyperlink" Target="https://services.ligo-wa.caltech.edu/integrationissues/show_bug.cgi?id=826" TargetMode="External"/><Relationship Id="rId42" Type="http://schemas.openxmlformats.org/officeDocument/2006/relationships/hyperlink" Target="https://services.ligo-wa.caltech.edu/integrationissues/show_bug.cgi?id=182" TargetMode="External"/><Relationship Id="rId47" Type="http://schemas.openxmlformats.org/officeDocument/2006/relationships/hyperlink" Target="https://services.ligo-wa.caltech.edu/integrationissues/show_bug.cgi?id=443" TargetMode="External"/><Relationship Id="rId50" Type="http://schemas.openxmlformats.org/officeDocument/2006/relationships/hyperlink" Target="https://services.ligo-wa.caltech.edu/integrationissues/show_bug.cgi?id=482" TargetMode="External"/><Relationship Id="rId55" Type="http://schemas.openxmlformats.org/officeDocument/2006/relationships/hyperlink" Target="https://services.ligo-wa.caltech.edu/integrationissues/show_bug.cgi?id=57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cc.ligo.org/LIGO-D0901809" TargetMode="External"/><Relationship Id="rId20" Type="http://schemas.openxmlformats.org/officeDocument/2006/relationships/hyperlink" Target="https://dcc.ligo.org/LIGO-D0901491" TargetMode="External"/><Relationship Id="rId29" Type="http://schemas.openxmlformats.org/officeDocument/2006/relationships/hyperlink" Target="https://dcc.ligo.org/LIGO-M1000211" TargetMode="External"/><Relationship Id="rId41" Type="http://schemas.openxmlformats.org/officeDocument/2006/relationships/hyperlink" Target="https://services.ligo-wa.caltech.edu/integrationissues/show_bug.cgi?id=118" TargetMode="External"/><Relationship Id="rId54" Type="http://schemas.openxmlformats.org/officeDocument/2006/relationships/hyperlink" Target="https://services.ligo-wa.caltech.edu/integrationissues/show_bug.cgi?id=55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1200088" TargetMode="External"/><Relationship Id="rId24" Type="http://schemas.openxmlformats.org/officeDocument/2006/relationships/hyperlink" Target="https://dcc.ligo.org/LIGO-D1201103" TargetMode="External"/><Relationship Id="rId32" Type="http://schemas.openxmlformats.org/officeDocument/2006/relationships/hyperlink" Target="https://dcc.ligo.org/LIGO-E1200445" TargetMode="External"/><Relationship Id="rId37" Type="http://schemas.openxmlformats.org/officeDocument/2006/relationships/hyperlink" Target="https://services.ligo-wa.caltech.edu/integrationissues/show_bug.cgi?id=89" TargetMode="External"/><Relationship Id="rId40" Type="http://schemas.openxmlformats.org/officeDocument/2006/relationships/hyperlink" Target="https://services.ligo-wa.caltech.edu/integrationissues/show_bug.cgi?id=100" TargetMode="External"/><Relationship Id="rId45" Type="http://schemas.openxmlformats.org/officeDocument/2006/relationships/hyperlink" Target="https://services.ligo-wa.caltech.edu/integrationissues/show_bug.cgi?id=373" TargetMode="External"/><Relationship Id="rId53" Type="http://schemas.openxmlformats.org/officeDocument/2006/relationships/hyperlink" Target="https://services.ligo-wa.caltech.edu/integrationissues/show_bug.cgi?id=534" TargetMode="External"/><Relationship Id="rId58" Type="http://schemas.openxmlformats.org/officeDocument/2006/relationships/hyperlink" Target="https://services.ligo-wa.caltech.edu/integrationissues/show_bug.cgi?id=741" TargetMode="External"/><Relationship Id="rId5" Type="http://schemas.openxmlformats.org/officeDocument/2006/relationships/webSettings" Target="webSettings.xml"/><Relationship Id="rId15" Type="http://schemas.openxmlformats.org/officeDocument/2006/relationships/hyperlink" Target="https://dcc.ligo.org/LIGO-D1200428" TargetMode="External"/><Relationship Id="rId23" Type="http://schemas.openxmlformats.org/officeDocument/2006/relationships/hyperlink" Target="https://dcc.ligo.org/LIGO-G1001032" TargetMode="External"/><Relationship Id="rId28" Type="http://schemas.openxmlformats.org/officeDocument/2006/relationships/hyperlink" Target="https://dcc.ligo.org/LIGO-D1000514" TargetMode="External"/><Relationship Id="rId36" Type="http://schemas.openxmlformats.org/officeDocument/2006/relationships/hyperlink" Target="https://services.ligo-wa.caltech.edu/integrationissues/show_bug.cgi?id=87" TargetMode="External"/><Relationship Id="rId49" Type="http://schemas.openxmlformats.org/officeDocument/2006/relationships/hyperlink" Target="https://services.ligo-wa.caltech.edu/integrationissues/show_bug.cgi?id=465" TargetMode="External"/><Relationship Id="rId57" Type="http://schemas.openxmlformats.org/officeDocument/2006/relationships/hyperlink" Target="https://services.ligo-wa.caltech.edu/integrationissues/show_bug.cgi?id=668" TargetMode="External"/><Relationship Id="rId61" Type="http://schemas.openxmlformats.org/officeDocument/2006/relationships/hyperlink" Target="https://services.ligo-wa.caltech.edu/integrationissues/show_bug.cgi?id=837" TargetMode="External"/><Relationship Id="rId10" Type="http://schemas.openxmlformats.org/officeDocument/2006/relationships/hyperlink" Target="https://dcc.ligo.org/LIGO-E1200023" TargetMode="External"/><Relationship Id="rId19" Type="http://schemas.openxmlformats.org/officeDocument/2006/relationships/hyperlink" Target="https://dcc.ligo.org/LIGO-E1200562" TargetMode="External"/><Relationship Id="rId31" Type="http://schemas.openxmlformats.org/officeDocument/2006/relationships/hyperlink" Target="https://dcc.ligo.org/LIGO-E1300922" TargetMode="External"/><Relationship Id="rId44" Type="http://schemas.openxmlformats.org/officeDocument/2006/relationships/hyperlink" Target="https://services.ligo-wa.caltech.edu/integrationissues/show_bug.cgi?id=332" TargetMode="External"/><Relationship Id="rId52" Type="http://schemas.openxmlformats.org/officeDocument/2006/relationships/hyperlink" Target="https://services.ligo-wa.caltech.edu/integrationissues/show_bug.cgi?id=530" TargetMode="External"/><Relationship Id="rId60" Type="http://schemas.openxmlformats.org/officeDocument/2006/relationships/hyperlink" Target="https://services.ligo-wa.caltech.edu/integrationissues/show_bug.cgi?id=77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LIGO-D1201103" TargetMode="External"/><Relationship Id="rId14" Type="http://schemas.openxmlformats.org/officeDocument/2006/relationships/hyperlink" Target="https://dcc.ligo.org/LIGO-E1200088" TargetMode="External"/><Relationship Id="rId22" Type="http://schemas.openxmlformats.org/officeDocument/2006/relationships/hyperlink" Target="https://dcc.ligo.org/LIGO-D0901809" TargetMode="External"/><Relationship Id="rId27" Type="http://schemas.openxmlformats.org/officeDocument/2006/relationships/hyperlink" Target="https://ics-redux.ligo-la.caltech.edu/JIRA/browse/ASSY-D0901809-NA" TargetMode="External"/><Relationship Id="rId30" Type="http://schemas.openxmlformats.org/officeDocument/2006/relationships/hyperlink" Target="https://dcc.ligo.org/LIGO-M1000211" TargetMode="External"/><Relationship Id="rId35" Type="http://schemas.openxmlformats.org/officeDocument/2006/relationships/hyperlink" Target="https://services.ligo-wa.caltech.edu/integrationissues/show_bug.cgi?id=73" TargetMode="External"/><Relationship Id="rId43" Type="http://schemas.openxmlformats.org/officeDocument/2006/relationships/hyperlink" Target="https://services.ligo-wa.caltech.edu/integrationissues/show_bug.cgi?id=196" TargetMode="External"/><Relationship Id="rId48" Type="http://schemas.openxmlformats.org/officeDocument/2006/relationships/hyperlink" Target="https://services.ligo-wa.caltech.edu/integrationissues/show_bug.cgi?id=445" TargetMode="External"/><Relationship Id="rId56" Type="http://schemas.openxmlformats.org/officeDocument/2006/relationships/hyperlink" Target="https://services.ligo-wa.caltech.edu/integrationissues/show_bug.cgi?id=577" TargetMode="External"/><Relationship Id="rId64" Type="http://schemas.openxmlformats.org/officeDocument/2006/relationships/fontTable" Target="fontTable.xml"/><Relationship Id="rId8" Type="http://schemas.openxmlformats.org/officeDocument/2006/relationships/hyperlink" Target="https://dcc.ligo.org/LIGO-M1300468" TargetMode="External"/><Relationship Id="rId51" Type="http://schemas.openxmlformats.org/officeDocument/2006/relationships/hyperlink" Target="https://services.ligo-wa.caltech.edu/integrationissues/show_bug.cgi?id=500" TargetMode="External"/><Relationship Id="rId3" Type="http://schemas.openxmlformats.org/officeDocument/2006/relationships/styles" Target="styles.xml"/><Relationship Id="rId12" Type="http://schemas.openxmlformats.org/officeDocument/2006/relationships/hyperlink" Target="https://dcc.ligo.org/LIGO-E1200092" TargetMode="External"/><Relationship Id="rId17" Type="http://schemas.openxmlformats.org/officeDocument/2006/relationships/hyperlink" Target="https://dcc.ligo.org/LIGO-E1100734" TargetMode="External"/><Relationship Id="rId25" Type="http://schemas.openxmlformats.org/officeDocument/2006/relationships/hyperlink" Target="https://dcc.ligo.org/LIGO-M1000051" TargetMode="External"/><Relationship Id="rId33" Type="http://schemas.openxmlformats.org/officeDocument/2006/relationships/hyperlink" Target="https://dcc.ligo.org/LIGO-M1300323" TargetMode="External"/><Relationship Id="rId38" Type="http://schemas.openxmlformats.org/officeDocument/2006/relationships/hyperlink" Target="https://services.ligo-wa.caltech.edu/integrationissues/show_bug.cgi?id=95" TargetMode="External"/><Relationship Id="rId46" Type="http://schemas.openxmlformats.org/officeDocument/2006/relationships/hyperlink" Target="https://services.ligo-wa.caltech.edu/integrationissues/show_bug.cgi?id=441" TargetMode="External"/><Relationship Id="rId59" Type="http://schemas.openxmlformats.org/officeDocument/2006/relationships/hyperlink" Target="https://services.ligo-wa.caltech.edu/integrationissues/show_bug.cgi?id=76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8E95-AE69-4F55-833F-CB215289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5709</TotalTime>
  <Pages>1</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12560</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Calum Torrie</cp:lastModifiedBy>
  <cp:revision>122</cp:revision>
  <cp:lastPrinted>2014-04-23T22:10:00Z</cp:lastPrinted>
  <dcterms:created xsi:type="dcterms:W3CDTF">2014-03-27T14:49:00Z</dcterms:created>
  <dcterms:modified xsi:type="dcterms:W3CDTF">2014-04-23T22:10:00Z</dcterms:modified>
  <cp:category/>
</cp:coreProperties>
</file>