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7C61BC">
        <w:t>M1400339</w:t>
      </w:r>
      <w:r w:rsidR="00F5292B">
        <w:t>-v</w:t>
      </w:r>
      <w:r w:rsidR="00832753">
        <w:t>1</w:t>
      </w:r>
      <w:r w:rsidR="005F48B2">
        <w:tab/>
      </w:r>
      <w:r w:rsidR="005F48B2">
        <w:rPr>
          <w:rFonts w:ascii="Times" w:hAnsi="Times"/>
          <w:i/>
          <w:iCs/>
          <w:color w:val="0000FF"/>
          <w:sz w:val="40"/>
        </w:rPr>
        <w:t>LIGO</w:t>
      </w:r>
      <w:r w:rsidR="005F48B2">
        <w:tab/>
      </w:r>
      <w:r w:rsidR="005D242C">
        <w:t>23 Oct 2014</w:t>
      </w:r>
    </w:p>
    <w:p w:rsidR="005F48B2" w:rsidRDefault="007F0DB1">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5D242C">
      <w:pPr>
        <w:pStyle w:val="BodyText"/>
        <w:pBdr>
          <w:top w:val="threeDEmboss" w:sz="24" w:space="1" w:color="auto"/>
          <w:left w:val="threeDEmboss" w:sz="24" w:space="4" w:color="auto"/>
          <w:bottom w:val="threeDEmboss" w:sz="24" w:space="1" w:color="auto"/>
          <w:right w:val="threeDEmboss" w:sz="24" w:space="4" w:color="auto"/>
        </w:pBdr>
      </w:pPr>
      <w:r>
        <w:t>Vacuum Review Board (VRB) Charter</w:t>
      </w:r>
    </w:p>
    <w:p w:rsidR="005F48B2" w:rsidRDefault="007F0DB1">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5D242C">
      <w:pPr>
        <w:pBdr>
          <w:top w:val="threeDEmboss" w:sz="24" w:space="1" w:color="auto"/>
          <w:left w:val="threeDEmboss" w:sz="24" w:space="4" w:color="auto"/>
          <w:bottom w:val="threeDEmboss" w:sz="24" w:space="1" w:color="auto"/>
          <w:right w:val="threeDEmboss" w:sz="24" w:space="4" w:color="auto"/>
        </w:pBdr>
        <w:jc w:val="center"/>
      </w:pPr>
      <w:r>
        <w:t>Dennis Coyne</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proofErr w:type="gramStart"/>
      <w:r>
        <w:t>of</w:t>
      </w:r>
      <w:proofErr w:type="gramEnd"/>
      <w:r>
        <w:t xml:space="preserve"> the LIGO Laboratory</w:t>
      </w:r>
      <w:r w:rsidR="005F48B2">
        <w:t>.</w:t>
      </w:r>
    </w:p>
    <w:p w:rsidR="005F48B2" w:rsidRDefault="005F48B2">
      <w:pPr>
        <w:pStyle w:val="PlainText"/>
        <w:spacing w:before="0"/>
        <w:jc w:val="left"/>
      </w:pPr>
    </w:p>
    <w:p w:rsidR="008E7496" w:rsidRDefault="008E7496">
      <w:pPr>
        <w:pStyle w:val="PlainText"/>
        <w:spacing w:before="0"/>
        <w:jc w:val="left"/>
      </w:pPr>
    </w:p>
    <w:p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rsidP="008E7496">
            <w:pPr>
              <w:pStyle w:val="PlainText"/>
              <w:spacing w:before="0"/>
              <w:jc w:val="center"/>
              <w:rPr>
                <w:color w:val="808080"/>
              </w:rPr>
            </w:pPr>
            <w:r>
              <w:rPr>
                <w:b/>
                <w:bCs/>
                <w:color w:val="808080"/>
              </w:rPr>
              <w:t>LIGO Project</w:t>
            </w:r>
          </w:p>
        </w:tc>
      </w:tr>
      <w:tr w:rsidR="005F48B2">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pPr>
              <w:pStyle w:val="PlainText"/>
              <w:spacing w:before="0"/>
              <w:jc w:val="center"/>
              <w:rPr>
                <w:b/>
                <w:bCs/>
                <w:color w:val="808080"/>
              </w:rPr>
            </w:pPr>
          </w:p>
        </w:tc>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p>
        </w:tc>
      </w:tr>
    </w:tbl>
    <w:p w:rsidR="005F48B2" w:rsidRDefault="005F48B2">
      <w:pPr>
        <w:pStyle w:val="PlainText"/>
        <w:jc w:val="center"/>
      </w:pPr>
      <w:r>
        <w:t>http://www.ligo.caltech.edu/</w:t>
      </w:r>
    </w:p>
    <w:p w:rsidR="005F48B2" w:rsidRDefault="005F48B2">
      <w:pPr>
        <w:pStyle w:val="Heading1"/>
      </w:pPr>
      <w:r>
        <w:br w:type="page"/>
      </w:r>
      <w:r>
        <w:lastRenderedPageBreak/>
        <w:t>Introduction</w:t>
      </w:r>
      <w:bookmarkStart w:id="0" w:name="_GoBack"/>
      <w:bookmarkEnd w:id="0"/>
    </w:p>
    <w:p w:rsidR="005F48B2" w:rsidRDefault="005D242C">
      <w:r>
        <w:t xml:space="preserve">This charter </w:t>
      </w:r>
      <w:r w:rsidR="00554AE1">
        <w:t>captures</w:t>
      </w:r>
      <w:r>
        <w:t xml:space="preserve"> the scope and responsibilities of the LIGO Laboratory’s </w:t>
      </w:r>
      <w:r>
        <w:t>Vacuum Review Board (VRB)</w:t>
      </w:r>
      <w:r w:rsidR="00554AE1">
        <w:t>, which has been operating for some years now within the LIGO Laboratory.</w:t>
      </w:r>
    </w:p>
    <w:p w:rsidR="00554AE1" w:rsidRDefault="00554AE1">
      <w:pPr>
        <w:pStyle w:val="Heading1"/>
      </w:pPr>
      <w:r>
        <w:t>Purpose</w:t>
      </w:r>
    </w:p>
    <w:p w:rsidR="00AB32C3" w:rsidRDefault="00AB32C3" w:rsidP="00554AE1">
      <w:r>
        <w:t>The purpose of the VRB is to:</w:t>
      </w:r>
    </w:p>
    <w:p w:rsidR="00554AE1" w:rsidRDefault="00554AE1" w:rsidP="00AB32C3">
      <w:pPr>
        <w:pStyle w:val="ListParagraph"/>
        <w:numPr>
          <w:ilvl w:val="0"/>
          <w:numId w:val="25"/>
        </w:numPr>
      </w:pPr>
      <w:r>
        <w:t>make technical evaluations and recommendations regarding proposed changes or issues that arise regarding to the LIGO Laboratory’</w:t>
      </w:r>
      <w:r w:rsidR="00AB32C3">
        <w:t>s vacuum systems,</w:t>
      </w:r>
    </w:p>
    <w:p w:rsidR="00554AE1" w:rsidRDefault="00AB32C3" w:rsidP="00AB32C3">
      <w:pPr>
        <w:pStyle w:val="ListParagraph"/>
        <w:numPr>
          <w:ilvl w:val="0"/>
          <w:numId w:val="25"/>
        </w:numPr>
      </w:pPr>
      <w:r>
        <w:t>define or approve</w:t>
      </w:r>
      <w:r w:rsidR="00554AE1">
        <w:t xml:space="preserve"> the standards and practices for the va</w:t>
      </w:r>
      <w:r>
        <w:t>cuum systems at the LIGO sites,</w:t>
      </w:r>
    </w:p>
    <w:p w:rsidR="001A204D" w:rsidRDefault="001A204D" w:rsidP="00AB32C3">
      <w:pPr>
        <w:pStyle w:val="ListParagraph"/>
        <w:numPr>
          <w:ilvl w:val="0"/>
          <w:numId w:val="25"/>
        </w:numPr>
      </w:pPr>
      <w:r>
        <w:t xml:space="preserve">review and </w:t>
      </w:r>
      <w:r w:rsidR="00AB32C3">
        <w:t>approve</w:t>
      </w:r>
      <w:r>
        <w:t xml:space="preserve"> all major changes or any non-standard activit</w:t>
      </w:r>
      <w:r w:rsidR="001B53E3">
        <w:t>ies affecting the vacuum system,</w:t>
      </w:r>
    </w:p>
    <w:p w:rsidR="001B53E3" w:rsidRDefault="001B53E3" w:rsidP="00AB32C3">
      <w:pPr>
        <w:pStyle w:val="ListParagraph"/>
        <w:numPr>
          <w:ilvl w:val="0"/>
          <w:numId w:val="25"/>
        </w:numPr>
      </w:pPr>
      <w:r>
        <w:t>provide technical expertise on vacuum safety concerns to the Lab’s safety officer.</w:t>
      </w:r>
    </w:p>
    <w:p w:rsidR="005D242C" w:rsidRDefault="005D242C">
      <w:pPr>
        <w:pStyle w:val="Heading1"/>
      </w:pPr>
      <w:r>
        <w:t>Scope</w:t>
      </w:r>
    </w:p>
    <w:p w:rsidR="005D242C" w:rsidRDefault="005D242C" w:rsidP="005D242C">
      <w:r>
        <w:t xml:space="preserve">The VRB is responsible for oversight of all of the LIGO Laboratories’ vacuum systems, most notably the </w:t>
      </w:r>
      <w:r w:rsidR="00554AE1">
        <w:t xml:space="preserve">observatory vacuum systems, but also </w:t>
      </w:r>
      <w:r w:rsidR="00CC24B8">
        <w:t xml:space="preserve">the two </w:t>
      </w:r>
      <w:r w:rsidR="00554AE1">
        <w:t xml:space="preserve">smaller </w:t>
      </w:r>
      <w:r w:rsidR="00CC24B8">
        <w:t xml:space="preserve">developmental </w:t>
      </w:r>
      <w:r w:rsidR="00554AE1">
        <w:t>vacu</w:t>
      </w:r>
      <w:r w:rsidR="00CC24B8">
        <w:t xml:space="preserve">um systems: </w:t>
      </w:r>
      <w:r w:rsidR="00554AE1">
        <w:t>Caltech’s 40m Lab and MIT’s LASTI facility.</w:t>
      </w:r>
    </w:p>
    <w:p w:rsidR="001B53E3" w:rsidRDefault="001B53E3" w:rsidP="001B53E3">
      <w:pPr>
        <w:pStyle w:val="Heading1"/>
      </w:pPr>
      <w:r>
        <w:t>Engineering group and Detector Operations group support role</w:t>
      </w:r>
    </w:p>
    <w:p w:rsidR="001B53E3" w:rsidRDefault="001B53E3" w:rsidP="001B53E3">
      <w:r>
        <w:t>LIGO Engineering supports the VRB by:</w:t>
      </w:r>
    </w:p>
    <w:p w:rsidR="001B53E3" w:rsidRDefault="004B0025" w:rsidP="00660363">
      <w:pPr>
        <w:pStyle w:val="ListParagraph"/>
        <w:numPr>
          <w:ilvl w:val="0"/>
          <w:numId w:val="26"/>
        </w:numPr>
      </w:pPr>
      <w:r>
        <w:t xml:space="preserve">maintains </w:t>
      </w:r>
      <w:r w:rsidR="001B53E3">
        <w:t>document</w:t>
      </w:r>
      <w:r>
        <w:t>ation</w:t>
      </w:r>
      <w:r w:rsidR="001B53E3">
        <w:t xml:space="preserve"> that defines the allowed materials</w:t>
      </w:r>
      <w:r w:rsidR="001B53E3">
        <w:t xml:space="preserve"> (</w:t>
      </w:r>
      <w:r>
        <w:t xml:space="preserve">e.g. </w:t>
      </w:r>
      <w:hyperlink r:id="rId8" w:history="1">
        <w:r w:rsidR="001B53E3" w:rsidRPr="004B0025">
          <w:rPr>
            <w:rStyle w:val="Hyperlink"/>
          </w:rPr>
          <w:t>E960050</w:t>
        </w:r>
      </w:hyperlink>
      <w:r>
        <w:t xml:space="preserve">, </w:t>
      </w:r>
      <w:hyperlink r:id="rId9" w:history="1">
        <w:r w:rsidRPr="004B0025">
          <w:rPr>
            <w:rStyle w:val="Hyperlink"/>
          </w:rPr>
          <w:t>E1000193</w:t>
        </w:r>
      </w:hyperlink>
      <w:r>
        <w:t>)</w:t>
      </w:r>
      <w:r w:rsidR="001B53E3">
        <w:t>,</w:t>
      </w:r>
      <w:r>
        <w:t xml:space="preserve"> preparation, cleaning</w:t>
      </w:r>
      <w:r w:rsidR="001B53E3">
        <w:t xml:space="preserve"> and </w:t>
      </w:r>
      <w:r>
        <w:t>qualification processes</w:t>
      </w:r>
      <w:r w:rsidR="001B53E3">
        <w:t xml:space="preserve"> for materials</w:t>
      </w:r>
      <w:r>
        <w:t xml:space="preserve"> and parts</w:t>
      </w:r>
      <w:r w:rsidR="001B53E3">
        <w:t xml:space="preserve"> </w:t>
      </w:r>
      <w:r>
        <w:t>(</w:t>
      </w:r>
      <w:hyperlink r:id="rId10" w:history="1">
        <w:r w:rsidRPr="004B0025">
          <w:rPr>
            <w:rStyle w:val="Hyperlink"/>
          </w:rPr>
          <w:t>E1000088</w:t>
        </w:r>
      </w:hyperlink>
      <w:r>
        <w:t xml:space="preserve">, </w:t>
      </w:r>
      <w:hyperlink r:id="rId11" w:history="1">
        <w:r w:rsidR="001B53E3" w:rsidRPr="004B0025">
          <w:rPr>
            <w:rStyle w:val="Hyperlink"/>
          </w:rPr>
          <w:t>E960022</w:t>
        </w:r>
      </w:hyperlink>
      <w:r w:rsidR="001B53E3">
        <w:t>),</w:t>
      </w:r>
    </w:p>
    <w:p w:rsidR="001B53E3" w:rsidRDefault="001B53E3" w:rsidP="001B53E3">
      <w:pPr>
        <w:pStyle w:val="ListParagraph"/>
        <w:numPr>
          <w:ilvl w:val="0"/>
          <w:numId w:val="26"/>
        </w:numPr>
      </w:pPr>
      <w:r>
        <w:t>e</w:t>
      </w:r>
      <w:r>
        <w:t>nsure</w:t>
      </w:r>
      <w:r w:rsidR="004B0025">
        <w:t>s</w:t>
      </w:r>
      <w:r>
        <w:t xml:space="preserve"> that </w:t>
      </w:r>
      <w:r w:rsidR="004B0025">
        <w:t>installation and operational activities do not violate the VRB approved policies and practices</w:t>
      </w:r>
      <w:r>
        <w:t>.</w:t>
      </w:r>
    </w:p>
    <w:p w:rsidR="001B53E3" w:rsidRPr="00554AE1" w:rsidRDefault="001B53E3" w:rsidP="001B53E3">
      <w:pPr>
        <w:pStyle w:val="ListParagraph"/>
        <w:numPr>
          <w:ilvl w:val="0"/>
          <w:numId w:val="26"/>
        </w:numPr>
      </w:pPr>
      <w:proofErr w:type="gramStart"/>
      <w:r>
        <w:t>maintains</w:t>
      </w:r>
      <w:proofErr w:type="gramEnd"/>
      <w:r>
        <w:t xml:space="preserve"> configuration control over the </w:t>
      </w:r>
      <w:r>
        <w:t xml:space="preserve">detector and the </w:t>
      </w:r>
      <w:r>
        <w:t>vacuum system as a whole</w:t>
      </w:r>
      <w:r>
        <w:t>, using the established Engineering Change Request (ECR) process</w:t>
      </w:r>
      <w:r w:rsidR="004B0025">
        <w:t xml:space="preserve"> (</w:t>
      </w:r>
      <w:hyperlink r:id="rId12" w:history="1">
        <w:r w:rsidR="004B0025" w:rsidRPr="004B0025">
          <w:rPr>
            <w:rStyle w:val="Hyperlink"/>
          </w:rPr>
          <w:t>E1300189</w:t>
        </w:r>
      </w:hyperlink>
      <w:r w:rsidR="004B0025">
        <w:t>), including involving the VRB in resolutions on ECRs involving the vacuum system.</w:t>
      </w:r>
    </w:p>
    <w:p w:rsidR="00CC24B8" w:rsidRDefault="00CC24B8" w:rsidP="00CC24B8">
      <w:pPr>
        <w:pStyle w:val="Heading1"/>
      </w:pPr>
      <w:r>
        <w:t>Membership and Structure</w:t>
      </w:r>
    </w:p>
    <w:p w:rsidR="00CC24B8" w:rsidRDefault="00CC24B8" w:rsidP="00CC24B8">
      <w:r>
        <w:t>The members do not serve any particular fixed term, and the VRB often enlists the advice or participation by outside experts in particular cases. The VRB normally conducts its business via email or teleconferencing.</w:t>
      </w:r>
      <w:r w:rsidR="004B0025">
        <w:t xml:space="preserve"> At least one member from the vacuum engineering group at each LIGO site should serve on the VRB.</w:t>
      </w:r>
    </w:p>
    <w:p w:rsidR="00CC24B8" w:rsidRDefault="00CC24B8" w:rsidP="00CC24B8">
      <w:r>
        <w:t>One member is designated as the chairperson and is responsible for organizing meetings and written responses to issues which are brought to the VRB for deliberation and recommendation.</w:t>
      </w:r>
    </w:p>
    <w:p w:rsidR="00CC24B8" w:rsidRDefault="00CC24B8" w:rsidP="00CC24B8">
      <w:r>
        <w:t>The VRB reports to</w:t>
      </w:r>
      <w:r w:rsidR="004B0025">
        <w:t xml:space="preserve"> (provides recommendations to)</w:t>
      </w:r>
      <w:r>
        <w:t xml:space="preserve"> the LIGO Laboratory’s Chief Engineer.</w:t>
      </w:r>
    </w:p>
    <w:p w:rsidR="004B0025" w:rsidRDefault="004B0025" w:rsidP="00CC24B8"/>
    <w:p w:rsidR="005F48B2" w:rsidRDefault="005D242C">
      <w:pPr>
        <w:pStyle w:val="Heading1"/>
      </w:pPr>
      <w:r>
        <w:lastRenderedPageBreak/>
        <w:t>Current Membership</w:t>
      </w:r>
    </w:p>
    <w:p w:rsidR="005F48B2" w:rsidRDefault="00CC24B8">
      <w:r>
        <w:t>At the present time, the VRB membership is as follows:</w:t>
      </w:r>
    </w:p>
    <w:p w:rsidR="00CC24B8" w:rsidRDefault="00CC24B8" w:rsidP="00CC24B8">
      <w:hyperlink r:id="rId13" w:history="1">
        <w:r w:rsidRPr="00CC24B8">
          <w:rPr>
            <w:rStyle w:val="Hyperlink"/>
          </w:rPr>
          <w:t>John Worden</w:t>
        </w:r>
      </w:hyperlink>
      <w:r>
        <w:t xml:space="preserve"> </w:t>
      </w:r>
      <w:r>
        <w:t>[chairman</w:t>
      </w:r>
      <w:r w:rsidR="004B0025">
        <w:t>, LHO</w:t>
      </w:r>
      <w:r>
        <w:t>]</w:t>
      </w:r>
    </w:p>
    <w:p w:rsidR="00CC24B8" w:rsidRDefault="00CC24B8" w:rsidP="00CC24B8">
      <w:hyperlink r:id="rId14" w:history="1">
        <w:r w:rsidRPr="00CC24B8">
          <w:rPr>
            <w:rStyle w:val="Hyperlink"/>
          </w:rPr>
          <w:t>Rainer Weiss</w:t>
        </w:r>
      </w:hyperlink>
      <w:r>
        <w:t xml:space="preserve"> </w:t>
      </w:r>
      <w:r w:rsidR="004B0025">
        <w:t>[MIT]</w:t>
      </w:r>
    </w:p>
    <w:p w:rsidR="00CC24B8" w:rsidRDefault="00CC24B8" w:rsidP="00CC24B8">
      <w:hyperlink r:id="rId15" w:history="1">
        <w:r w:rsidRPr="00CC24B8">
          <w:rPr>
            <w:rStyle w:val="Hyperlink"/>
          </w:rPr>
          <w:t xml:space="preserve">Mike </w:t>
        </w:r>
        <w:proofErr w:type="spellStart"/>
        <w:r w:rsidRPr="00CC24B8">
          <w:rPr>
            <w:rStyle w:val="Hyperlink"/>
          </w:rPr>
          <w:t>Zucker</w:t>
        </w:r>
        <w:proofErr w:type="spellEnd"/>
      </w:hyperlink>
      <w:r>
        <w:t xml:space="preserve"> </w:t>
      </w:r>
      <w:r w:rsidR="004B0025">
        <w:t>[MIT]</w:t>
      </w:r>
    </w:p>
    <w:p w:rsidR="00CC24B8" w:rsidRDefault="00CC24B8" w:rsidP="00CC24B8">
      <w:hyperlink r:id="rId16" w:history="1">
        <w:r w:rsidRPr="00CC24B8">
          <w:rPr>
            <w:rStyle w:val="Hyperlink"/>
          </w:rPr>
          <w:t xml:space="preserve">Fred </w:t>
        </w:r>
        <w:proofErr w:type="spellStart"/>
        <w:r w:rsidRPr="00CC24B8">
          <w:rPr>
            <w:rStyle w:val="Hyperlink"/>
          </w:rPr>
          <w:t>Raab</w:t>
        </w:r>
        <w:proofErr w:type="spellEnd"/>
      </w:hyperlink>
      <w:r>
        <w:t xml:space="preserve"> </w:t>
      </w:r>
      <w:r w:rsidR="004B0025">
        <w:t>[LHO]</w:t>
      </w:r>
    </w:p>
    <w:p w:rsidR="00CC24B8" w:rsidRDefault="00CC24B8" w:rsidP="00CC24B8">
      <w:hyperlink r:id="rId17" w:history="1">
        <w:r w:rsidRPr="00CC24B8">
          <w:rPr>
            <w:rStyle w:val="Hyperlink"/>
          </w:rPr>
          <w:t>Scott McCormick</w:t>
        </w:r>
      </w:hyperlink>
      <w:r>
        <w:t xml:space="preserve"> </w:t>
      </w:r>
      <w:r w:rsidR="004B0025">
        <w:t>[LLO]</w:t>
      </w:r>
    </w:p>
    <w:sectPr w:rsidR="00CC24B8">
      <w:headerReference w:type="default" r:id="rId18"/>
      <w:footerReference w:type="even" r:id="rId19"/>
      <w:footerReference w:type="default" r:id="rId20"/>
      <w:headerReference w:type="first" r:id="rId21"/>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DB1" w:rsidRDefault="007F0DB1">
      <w:r>
        <w:separator/>
      </w:r>
    </w:p>
  </w:endnote>
  <w:endnote w:type="continuationSeparator" w:id="0">
    <w:p w:rsidR="007F0DB1" w:rsidRDefault="007F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B2" w:rsidRDefault="005F4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8B2" w:rsidRDefault="005F48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B2" w:rsidRDefault="005F48B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C61BC">
      <w:rPr>
        <w:rStyle w:val="PageNumber"/>
        <w:noProof/>
      </w:rPr>
      <w:t>3</w:t>
    </w:r>
    <w:r>
      <w:rPr>
        <w:rStyle w:val="PageNumber"/>
      </w:rPr>
      <w:fldChar w:fldCharType="end"/>
    </w:r>
  </w:p>
  <w:p w:rsidR="005F48B2" w:rsidRDefault="005F48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DB1" w:rsidRDefault="007F0DB1">
      <w:r>
        <w:separator/>
      </w:r>
    </w:p>
  </w:footnote>
  <w:footnote w:type="continuationSeparator" w:id="0">
    <w:p w:rsidR="007F0DB1" w:rsidRDefault="007F0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B2" w:rsidRDefault="005F48B2">
    <w:pPr>
      <w:pStyle w:val="Header"/>
      <w:tabs>
        <w:tab w:val="clear" w:pos="4320"/>
        <w:tab w:val="center" w:pos="4680"/>
      </w:tabs>
      <w:jc w:val="left"/>
      <w:rPr>
        <w:sz w:val="20"/>
      </w:rPr>
    </w:pPr>
    <w:r>
      <w:rPr>
        <w:b/>
        <w:bCs/>
        <w:i/>
        <w:iCs/>
        <w:color w:val="0000FF"/>
        <w:sz w:val="20"/>
      </w:rPr>
      <w:t>LIGO</w:t>
    </w:r>
    <w:r w:rsidR="005D242C">
      <w:rPr>
        <w:sz w:val="20"/>
      </w:rPr>
      <w:tab/>
      <w:t>LIGO-M14</w:t>
    </w:r>
    <w:r w:rsidR="007C61BC">
      <w:rPr>
        <w:sz w:val="20"/>
      </w:rPr>
      <w:t>00339</w:t>
    </w:r>
    <w:r w:rsidR="00F5292B">
      <w:rPr>
        <w:sz w:val="20"/>
      </w:rPr>
      <w:t>-v1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B2" w:rsidRDefault="005F48B2">
    <w:pPr>
      <w:pStyle w:val="Header"/>
      <w:jc w:val="right"/>
    </w:pPr>
    <w:r>
      <w:rPr>
        <w:b/>
        <w:caps/>
      </w:rPr>
      <w:t>Laser Interferometer Gravitational Wave Observatory</w:t>
    </w:r>
    <w:r>
      <w:rPr>
        <w:noProof/>
        <w:sz w:val="20"/>
      </w:rPr>
      <w:t xml:space="preserve"> </w:t>
    </w:r>
    <w:r w:rsidR="007F0DB1">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7557557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A3151B"/>
    <w:multiLevelType w:val="hybridMultilevel"/>
    <w:tmpl w:val="BDBA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2B6208DF"/>
    <w:multiLevelType w:val="hybridMultilevel"/>
    <w:tmpl w:val="0892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4">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8">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3"/>
  </w:num>
  <w:num w:numId="4">
    <w:abstractNumId w:val="4"/>
  </w:num>
  <w:num w:numId="5">
    <w:abstractNumId w:val="2"/>
  </w:num>
  <w:num w:numId="6">
    <w:abstractNumId w:val="5"/>
  </w:num>
  <w:num w:numId="7">
    <w:abstractNumId w:val="7"/>
  </w:num>
  <w:num w:numId="8">
    <w:abstractNumId w:val="11"/>
  </w:num>
  <w:num w:numId="9">
    <w:abstractNumId w:val="12"/>
  </w:num>
  <w:num w:numId="10">
    <w:abstractNumId w:val="1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16"/>
  </w:num>
  <w:num w:numId="16">
    <w:abstractNumId w:val="10"/>
  </w:num>
  <w:num w:numId="17">
    <w:abstractNumId w:val="9"/>
  </w:num>
  <w:num w:numId="18">
    <w:abstractNumId w:val="9"/>
  </w:num>
  <w:num w:numId="19">
    <w:abstractNumId w:val="9"/>
  </w:num>
  <w:num w:numId="20">
    <w:abstractNumId w:val="9"/>
  </w:num>
  <w:num w:numId="21">
    <w:abstractNumId w:val="9"/>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5"/>
  </w:num>
  <w:num w:numId="23">
    <w:abstractNumId w:val="15"/>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8"/>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1A204D"/>
    <w:rsid w:val="001B53E3"/>
    <w:rsid w:val="0036226E"/>
    <w:rsid w:val="004B0025"/>
    <w:rsid w:val="0054334E"/>
    <w:rsid w:val="00554AE1"/>
    <w:rsid w:val="00563A05"/>
    <w:rsid w:val="005D242C"/>
    <w:rsid w:val="005E13FE"/>
    <w:rsid w:val="005F48B2"/>
    <w:rsid w:val="00776291"/>
    <w:rsid w:val="0078145B"/>
    <w:rsid w:val="007C61BC"/>
    <w:rsid w:val="007F0DB1"/>
    <w:rsid w:val="00832753"/>
    <w:rsid w:val="008E7496"/>
    <w:rsid w:val="009022BF"/>
    <w:rsid w:val="009A362C"/>
    <w:rsid w:val="00AB32C3"/>
    <w:rsid w:val="00CC24B8"/>
    <w:rsid w:val="00CC3B9F"/>
    <w:rsid w:val="00E271E7"/>
    <w:rsid w:val="00E66298"/>
    <w:rsid w:val="00F5292B"/>
    <w:rsid w:val="00F65452"/>
    <w:rsid w:val="00FB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docId w15:val="{B32775AF-E1C1-4DD4-91F5-1812F462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AB3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E960050" TargetMode="External"/><Relationship Id="rId13" Type="http://schemas.openxmlformats.org/officeDocument/2006/relationships/hyperlink" Target="mailto:%3cworden_j@ligo-wa.caltech.edu%20%3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cc.ligo.org/LIGO-M1300189" TargetMode="External"/><Relationship Id="rId17" Type="http://schemas.openxmlformats.org/officeDocument/2006/relationships/hyperlink" Target="mailto:%3csmccormick@ligo-la.caltech.edu%20%3e" TargetMode="External"/><Relationship Id="rId2" Type="http://schemas.openxmlformats.org/officeDocument/2006/relationships/numbering" Target="numbering.xml"/><Relationship Id="rId16" Type="http://schemas.openxmlformats.org/officeDocument/2006/relationships/hyperlink" Target="mailto:%3craab_f@ligo-wa.caltech.edu%20%3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E960022" TargetMode="External"/><Relationship Id="rId5" Type="http://schemas.openxmlformats.org/officeDocument/2006/relationships/webSettings" Target="webSettings.xml"/><Relationship Id="rId15" Type="http://schemas.openxmlformats.org/officeDocument/2006/relationships/hyperlink" Target="mailto:%3cmike@ligo.mit.edu%20%3e" TargetMode="External"/><Relationship Id="rId23" Type="http://schemas.openxmlformats.org/officeDocument/2006/relationships/theme" Target="theme/theme1.xml"/><Relationship Id="rId10" Type="http://schemas.openxmlformats.org/officeDocument/2006/relationships/hyperlink" Target="https://dcc.ligo.org/LIGO-E100008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cc.ligo.org/LIGO-E1000193" TargetMode="External"/><Relationship Id="rId14" Type="http://schemas.openxmlformats.org/officeDocument/2006/relationships/hyperlink" Target="mailto:%3cweiss@ligo.mit.edu%20%3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A6340-E8A2-4770-9090-8DCB9AD1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coyne</cp:lastModifiedBy>
  <cp:revision>2</cp:revision>
  <cp:lastPrinted>2000-07-19T02:21:00Z</cp:lastPrinted>
  <dcterms:created xsi:type="dcterms:W3CDTF">2014-10-23T20:20:00Z</dcterms:created>
  <dcterms:modified xsi:type="dcterms:W3CDTF">2014-10-23T20:20:00Z</dcterms:modified>
</cp:coreProperties>
</file>