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3462" w14:textId="77777777" w:rsidR="005F48B2" w:rsidRDefault="005F48B2">
      <w:pPr>
        <w:pStyle w:val="PlainText"/>
        <w:jc w:val="center"/>
        <w:rPr>
          <w:i/>
          <w:sz w:val="36"/>
        </w:rPr>
      </w:pPr>
    </w:p>
    <w:p w14:paraId="61A04E6B" w14:textId="77777777" w:rsidR="005F48B2" w:rsidRDefault="005F48B2">
      <w:pPr>
        <w:pStyle w:val="PlainText"/>
        <w:jc w:val="center"/>
        <w:rPr>
          <w:i/>
          <w:sz w:val="36"/>
        </w:rPr>
      </w:pPr>
      <w:r>
        <w:rPr>
          <w:i/>
          <w:sz w:val="36"/>
        </w:rPr>
        <w:t>LIGO Laboratory / LIGO Scientific Collaboration</w:t>
      </w:r>
    </w:p>
    <w:p w14:paraId="5DED4F43" w14:textId="77777777" w:rsidR="005F48B2" w:rsidRDefault="005F48B2">
      <w:pPr>
        <w:pStyle w:val="PlainText"/>
        <w:jc w:val="center"/>
        <w:rPr>
          <w:sz w:val="36"/>
        </w:rPr>
      </w:pPr>
    </w:p>
    <w:p w14:paraId="7406A8DC" w14:textId="77777777" w:rsidR="005F48B2" w:rsidRDefault="005F48B2">
      <w:pPr>
        <w:pStyle w:val="PlainText"/>
        <w:jc w:val="left"/>
        <w:rPr>
          <w:sz w:val="36"/>
        </w:rPr>
      </w:pPr>
    </w:p>
    <w:p w14:paraId="3E88F2DD" w14:textId="6AE5EE7C"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t>1</w:t>
      </w:r>
      <w:r w:rsidR="00746871">
        <w:t>500008</w:t>
      </w:r>
      <w:r w:rsidR="00F5292B">
        <w:t>-v</w:t>
      </w:r>
      <w:r w:rsidR="00CB168F">
        <w:t>2</w:t>
      </w:r>
      <w:r w:rsidR="005F48B2">
        <w:tab/>
      </w:r>
      <w:r w:rsidR="005F48B2">
        <w:rPr>
          <w:rFonts w:ascii="Times" w:hAnsi="Times"/>
          <w:i/>
          <w:iCs/>
          <w:color w:val="0000FF"/>
          <w:sz w:val="40"/>
        </w:rPr>
        <w:t>LIGO</w:t>
      </w:r>
      <w:r w:rsidR="005F48B2">
        <w:tab/>
      </w:r>
      <w:r w:rsidR="00CB168F">
        <w:t>March 13</w:t>
      </w:r>
      <w:bookmarkStart w:id="0" w:name="_GoBack"/>
      <w:bookmarkEnd w:id="0"/>
      <w:r w:rsidR="00295348">
        <w:t>, 2015</w:t>
      </w:r>
    </w:p>
    <w:p w14:paraId="26D9D457" w14:textId="77777777" w:rsidR="005F48B2" w:rsidRDefault="00CB168F">
      <w:pPr>
        <w:pBdr>
          <w:top w:val="threeDEmboss" w:sz="24" w:space="1" w:color="auto"/>
          <w:left w:val="threeDEmboss" w:sz="24" w:space="4" w:color="auto"/>
          <w:bottom w:val="threeDEmboss" w:sz="24" w:space="1" w:color="auto"/>
          <w:right w:val="threeDEmboss" w:sz="24" w:space="4" w:color="auto"/>
        </w:pBdr>
      </w:pPr>
      <w:r>
        <w:pict w14:anchorId="37F8C82C">
          <v:rect id="_x0000_i1025" style="width:0;height:1.5pt" o:hralign="center" o:hrstd="t" o:hr="t" fillcolor="gray" stroked="f"/>
        </w:pict>
      </w:r>
    </w:p>
    <w:p w14:paraId="0DB3CF19" w14:textId="0FD1F5D1" w:rsidR="005F48B2" w:rsidRDefault="00295348">
      <w:pPr>
        <w:pStyle w:val="BodyText"/>
        <w:pBdr>
          <w:top w:val="threeDEmboss" w:sz="24" w:space="1" w:color="auto"/>
          <w:left w:val="threeDEmboss" w:sz="24" w:space="4" w:color="auto"/>
          <w:bottom w:val="threeDEmboss" w:sz="24" w:space="1" w:color="auto"/>
          <w:right w:val="threeDEmboss" w:sz="24" w:space="4" w:color="auto"/>
        </w:pBdr>
      </w:pPr>
      <w:r>
        <w:rPr>
          <w:i/>
        </w:rPr>
        <w:t>ISC Output</w:t>
      </w:r>
      <w:r w:rsidR="004D2405" w:rsidRPr="004D2405">
        <w:rPr>
          <w:i/>
        </w:rPr>
        <w:t xml:space="preserve"> </w:t>
      </w:r>
      <w:r>
        <w:rPr>
          <w:i/>
        </w:rPr>
        <w:t>Mode Cleaner</w:t>
      </w:r>
      <w:r w:rsidR="00746871">
        <w:rPr>
          <w:i/>
        </w:rPr>
        <w:t>:</w:t>
      </w:r>
      <w:r w:rsidR="004D2405">
        <w:t xml:space="preserve"> Acceptance Documentation</w:t>
      </w:r>
    </w:p>
    <w:p w14:paraId="461C9C1E" w14:textId="77777777" w:rsidR="005F48B2" w:rsidRDefault="00CB168F">
      <w:pPr>
        <w:pBdr>
          <w:top w:val="threeDEmboss" w:sz="24" w:space="1" w:color="auto"/>
          <w:left w:val="threeDEmboss" w:sz="24" w:space="4" w:color="auto"/>
          <w:bottom w:val="threeDEmboss" w:sz="24" w:space="1" w:color="auto"/>
          <w:right w:val="threeDEmboss" w:sz="24" w:space="4" w:color="auto"/>
        </w:pBdr>
      </w:pPr>
      <w:r>
        <w:pict w14:anchorId="5E240212">
          <v:rect id="_x0000_i1026" style="width:0;height:1.5pt" o:hralign="center" o:hrstd="t" o:hr="t" fillcolor="gray" stroked="f"/>
        </w:pict>
      </w:r>
    </w:p>
    <w:p w14:paraId="529E00EA" w14:textId="56D9AC44" w:rsidR="005F48B2" w:rsidRDefault="00295348">
      <w:pPr>
        <w:pBdr>
          <w:top w:val="threeDEmboss" w:sz="24" w:space="1" w:color="auto"/>
          <w:left w:val="threeDEmboss" w:sz="24" w:space="4" w:color="auto"/>
          <w:bottom w:val="threeDEmboss" w:sz="24" w:space="1" w:color="auto"/>
          <w:right w:val="threeDEmboss" w:sz="24" w:space="4" w:color="auto"/>
        </w:pBdr>
        <w:jc w:val="center"/>
      </w:pPr>
      <w:r>
        <w:t>K. Arai</w:t>
      </w:r>
      <w:r w:rsidR="00746871">
        <w:t>, P. Fritschel</w:t>
      </w:r>
    </w:p>
    <w:p w14:paraId="1295FEEE" w14:textId="77777777" w:rsidR="005F48B2" w:rsidRDefault="005F48B2">
      <w:pPr>
        <w:pStyle w:val="PlainText"/>
        <w:spacing w:before="0"/>
        <w:jc w:val="center"/>
      </w:pPr>
    </w:p>
    <w:p w14:paraId="1F61B5D9" w14:textId="77777777" w:rsidR="005F48B2" w:rsidRDefault="005F48B2">
      <w:pPr>
        <w:pStyle w:val="PlainText"/>
        <w:spacing w:before="0"/>
        <w:jc w:val="center"/>
      </w:pPr>
      <w:r>
        <w:t>Distribution of this document:</w:t>
      </w:r>
    </w:p>
    <w:p w14:paraId="028A00F4" w14:textId="77777777" w:rsidR="005F48B2" w:rsidRDefault="00E66298">
      <w:pPr>
        <w:pStyle w:val="PlainText"/>
        <w:spacing w:before="0"/>
        <w:jc w:val="center"/>
      </w:pPr>
      <w:r>
        <w:t>LIGO Scientific</w:t>
      </w:r>
      <w:r w:rsidR="005F48B2">
        <w:t xml:space="preserve"> Collaboration</w:t>
      </w:r>
    </w:p>
    <w:p w14:paraId="0353502F" w14:textId="77777777" w:rsidR="005F48B2" w:rsidRDefault="005F48B2">
      <w:pPr>
        <w:pStyle w:val="PlainText"/>
        <w:spacing w:before="0"/>
        <w:jc w:val="center"/>
      </w:pPr>
    </w:p>
    <w:p w14:paraId="2E37CFC1" w14:textId="77777777" w:rsidR="005F48B2" w:rsidRDefault="005F48B2">
      <w:pPr>
        <w:pStyle w:val="PlainText"/>
        <w:spacing w:before="0"/>
        <w:jc w:val="center"/>
      </w:pPr>
      <w:r>
        <w:t>This is an internal working note</w:t>
      </w:r>
    </w:p>
    <w:p w14:paraId="2E29DDD3" w14:textId="77777777" w:rsidR="005F48B2" w:rsidRDefault="00E66298">
      <w:pPr>
        <w:pStyle w:val="PlainText"/>
        <w:spacing w:before="0"/>
        <w:jc w:val="center"/>
      </w:pPr>
      <w:proofErr w:type="gramStart"/>
      <w:r>
        <w:t>of</w:t>
      </w:r>
      <w:proofErr w:type="gramEnd"/>
      <w:r>
        <w:t xml:space="preserve"> the LIGO Laboratory</w:t>
      </w:r>
      <w:r w:rsidR="005F48B2">
        <w:t>.</w:t>
      </w:r>
    </w:p>
    <w:p w14:paraId="172FBB20" w14:textId="77777777" w:rsidR="005F48B2" w:rsidRDefault="005F48B2">
      <w:pPr>
        <w:pStyle w:val="PlainText"/>
        <w:spacing w:before="0"/>
        <w:jc w:val="left"/>
      </w:pPr>
    </w:p>
    <w:p w14:paraId="1D2A7B71" w14:textId="77777777" w:rsidR="008E7496" w:rsidRDefault="008E7496">
      <w:pPr>
        <w:pStyle w:val="PlainText"/>
        <w:spacing w:before="0"/>
        <w:jc w:val="left"/>
      </w:pPr>
    </w:p>
    <w:p w14:paraId="01CE561A"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3CCD80B6" w14:textId="77777777">
        <w:tc>
          <w:tcPr>
            <w:tcW w:w="4909" w:type="dxa"/>
          </w:tcPr>
          <w:p w14:paraId="63C9D1D3" w14:textId="77777777" w:rsidR="005F48B2" w:rsidRDefault="005F48B2">
            <w:pPr>
              <w:pStyle w:val="PlainText"/>
              <w:spacing w:before="0"/>
              <w:jc w:val="center"/>
              <w:rPr>
                <w:b/>
                <w:bCs/>
                <w:color w:val="808080"/>
              </w:rPr>
            </w:pPr>
            <w:r>
              <w:rPr>
                <w:b/>
                <w:bCs/>
                <w:color w:val="808080"/>
              </w:rPr>
              <w:t>California Institute of Technology</w:t>
            </w:r>
          </w:p>
          <w:p w14:paraId="50837634"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5E5A7E9B" w14:textId="77777777" w:rsidR="005F48B2" w:rsidRDefault="005F48B2">
            <w:pPr>
              <w:pStyle w:val="PlainText"/>
              <w:spacing w:before="0"/>
              <w:jc w:val="center"/>
              <w:rPr>
                <w:b/>
                <w:bCs/>
                <w:color w:val="808080"/>
              </w:rPr>
            </w:pPr>
            <w:r>
              <w:rPr>
                <w:b/>
                <w:bCs/>
                <w:color w:val="808080"/>
              </w:rPr>
              <w:t>Massachusetts Institute of Technology</w:t>
            </w:r>
          </w:p>
          <w:p w14:paraId="50B7F8B8" w14:textId="77777777" w:rsidR="005F48B2" w:rsidRDefault="00E66298" w:rsidP="008E7496">
            <w:pPr>
              <w:pStyle w:val="PlainText"/>
              <w:spacing w:before="0"/>
              <w:jc w:val="center"/>
              <w:rPr>
                <w:color w:val="808080"/>
              </w:rPr>
            </w:pPr>
            <w:r>
              <w:rPr>
                <w:b/>
                <w:bCs/>
                <w:color w:val="808080"/>
              </w:rPr>
              <w:t>LIGO Project</w:t>
            </w:r>
          </w:p>
        </w:tc>
      </w:tr>
      <w:tr w:rsidR="005F48B2" w14:paraId="7147F90E" w14:textId="77777777">
        <w:tc>
          <w:tcPr>
            <w:tcW w:w="4909" w:type="dxa"/>
          </w:tcPr>
          <w:p w14:paraId="32CFA61A" w14:textId="77777777" w:rsidR="005F48B2" w:rsidRDefault="005F48B2">
            <w:pPr>
              <w:pStyle w:val="PlainText"/>
              <w:spacing w:before="0"/>
              <w:jc w:val="center"/>
              <w:rPr>
                <w:b/>
                <w:bCs/>
                <w:color w:val="808080"/>
              </w:rPr>
            </w:pPr>
          </w:p>
          <w:p w14:paraId="63240112" w14:textId="77777777" w:rsidR="008E7496" w:rsidRDefault="008E7496">
            <w:pPr>
              <w:pStyle w:val="PlainText"/>
              <w:spacing w:before="0"/>
              <w:jc w:val="center"/>
              <w:rPr>
                <w:b/>
                <w:bCs/>
                <w:color w:val="808080"/>
              </w:rPr>
            </w:pPr>
          </w:p>
          <w:p w14:paraId="7749F045" w14:textId="77777777" w:rsidR="008E7496" w:rsidRDefault="008E7496">
            <w:pPr>
              <w:pStyle w:val="PlainText"/>
              <w:spacing w:before="0"/>
              <w:jc w:val="center"/>
              <w:rPr>
                <w:b/>
                <w:bCs/>
                <w:color w:val="808080"/>
              </w:rPr>
            </w:pPr>
          </w:p>
          <w:p w14:paraId="6A937403" w14:textId="77777777" w:rsidR="008E7496" w:rsidRDefault="008E7496">
            <w:pPr>
              <w:pStyle w:val="PlainText"/>
              <w:spacing w:before="0"/>
              <w:jc w:val="center"/>
              <w:rPr>
                <w:b/>
                <w:bCs/>
                <w:color w:val="808080"/>
              </w:rPr>
            </w:pPr>
          </w:p>
          <w:p w14:paraId="35D67520" w14:textId="77777777" w:rsidR="005F48B2" w:rsidRDefault="005F48B2">
            <w:pPr>
              <w:pStyle w:val="PlainText"/>
              <w:spacing w:before="0"/>
              <w:jc w:val="center"/>
              <w:rPr>
                <w:b/>
                <w:bCs/>
                <w:color w:val="808080"/>
              </w:rPr>
            </w:pPr>
            <w:r>
              <w:rPr>
                <w:b/>
                <w:bCs/>
                <w:color w:val="808080"/>
              </w:rPr>
              <w:t>LIGO Hanford Observatory</w:t>
            </w:r>
          </w:p>
          <w:p w14:paraId="7F5824E3" w14:textId="77777777" w:rsidR="005F48B2" w:rsidRDefault="005F48B2">
            <w:pPr>
              <w:pStyle w:val="PlainText"/>
              <w:spacing w:before="0"/>
              <w:jc w:val="center"/>
              <w:rPr>
                <w:b/>
                <w:bCs/>
                <w:color w:val="808080"/>
              </w:rPr>
            </w:pPr>
          </w:p>
        </w:tc>
        <w:tc>
          <w:tcPr>
            <w:tcW w:w="4909" w:type="dxa"/>
          </w:tcPr>
          <w:p w14:paraId="738C179E" w14:textId="77777777" w:rsidR="005F48B2" w:rsidRDefault="005F48B2">
            <w:pPr>
              <w:pStyle w:val="PlainText"/>
              <w:spacing w:before="0"/>
              <w:jc w:val="center"/>
              <w:rPr>
                <w:b/>
                <w:bCs/>
                <w:color w:val="808080"/>
              </w:rPr>
            </w:pPr>
          </w:p>
          <w:p w14:paraId="6072EBAD" w14:textId="77777777" w:rsidR="008E7496" w:rsidRDefault="008E7496">
            <w:pPr>
              <w:pStyle w:val="PlainText"/>
              <w:spacing w:before="0"/>
              <w:jc w:val="center"/>
              <w:rPr>
                <w:b/>
                <w:bCs/>
                <w:color w:val="808080"/>
              </w:rPr>
            </w:pPr>
          </w:p>
          <w:p w14:paraId="33C83F9D" w14:textId="77777777" w:rsidR="008E7496" w:rsidRDefault="008E7496">
            <w:pPr>
              <w:pStyle w:val="PlainText"/>
              <w:spacing w:before="0"/>
              <w:jc w:val="center"/>
              <w:rPr>
                <w:b/>
                <w:bCs/>
                <w:color w:val="808080"/>
              </w:rPr>
            </w:pPr>
          </w:p>
          <w:p w14:paraId="243D35DD" w14:textId="77777777" w:rsidR="008E7496" w:rsidRDefault="008E7496">
            <w:pPr>
              <w:pStyle w:val="PlainText"/>
              <w:spacing w:before="0"/>
              <w:jc w:val="center"/>
              <w:rPr>
                <w:b/>
                <w:bCs/>
                <w:color w:val="808080"/>
              </w:rPr>
            </w:pPr>
          </w:p>
          <w:p w14:paraId="5B48323B" w14:textId="77777777" w:rsidR="005F48B2" w:rsidRDefault="005F48B2">
            <w:pPr>
              <w:pStyle w:val="PlainText"/>
              <w:spacing w:before="0"/>
              <w:jc w:val="center"/>
              <w:rPr>
                <w:b/>
                <w:bCs/>
                <w:color w:val="808080"/>
              </w:rPr>
            </w:pPr>
            <w:r>
              <w:rPr>
                <w:b/>
                <w:bCs/>
                <w:color w:val="808080"/>
              </w:rPr>
              <w:t>LIGO Livingston Observatory</w:t>
            </w:r>
          </w:p>
          <w:p w14:paraId="7BBBDE31" w14:textId="77777777" w:rsidR="005F48B2" w:rsidRDefault="005F48B2">
            <w:pPr>
              <w:pStyle w:val="PlainText"/>
              <w:spacing w:before="0"/>
              <w:jc w:val="center"/>
              <w:rPr>
                <w:b/>
                <w:bCs/>
                <w:color w:val="808080"/>
              </w:rPr>
            </w:pPr>
          </w:p>
        </w:tc>
      </w:tr>
    </w:tbl>
    <w:p w14:paraId="712A86A5" w14:textId="77777777" w:rsidR="005F48B2" w:rsidRDefault="005F48B2">
      <w:pPr>
        <w:pStyle w:val="PlainText"/>
        <w:jc w:val="center"/>
      </w:pPr>
      <w:r>
        <w:t>http://www.ligo.caltech.edu/</w:t>
      </w:r>
    </w:p>
    <w:p w14:paraId="077C4BD3" w14:textId="77777777" w:rsidR="005F48B2" w:rsidRPr="00223FBC" w:rsidRDefault="005F48B2" w:rsidP="00D6198D">
      <w:pPr>
        <w:pStyle w:val="Heading1"/>
      </w:pPr>
      <w:r>
        <w:br w:type="page"/>
      </w:r>
      <w:r w:rsidR="007313B9" w:rsidRPr="00223FBC">
        <w:lastRenderedPageBreak/>
        <w:t>Requirements documentation</w:t>
      </w:r>
    </w:p>
    <w:p w14:paraId="3AA8D643" w14:textId="722A356F" w:rsidR="00295348" w:rsidRPr="007313B9" w:rsidRDefault="00295348" w:rsidP="007313B9">
      <w:pPr>
        <w:rPr>
          <w:i/>
        </w:rPr>
      </w:pPr>
      <w:r>
        <w:t>There is no separate requirements document for the Output Mode Cleaner</w:t>
      </w:r>
      <w:r w:rsidR="008203AA">
        <w:t xml:space="preserve"> (OMC)</w:t>
      </w:r>
      <w:r>
        <w:t>; the design document (</w:t>
      </w:r>
      <w:hyperlink r:id="rId8" w:history="1">
        <w:r w:rsidRPr="00295348">
          <w:rPr>
            <w:rStyle w:val="Hyperlink"/>
          </w:rPr>
          <w:t>LIGO-T1000276</w:t>
        </w:r>
      </w:hyperlink>
      <w:r>
        <w:t>) describes the requirement based on the conceptual design (</w:t>
      </w:r>
      <w:hyperlink r:id="rId9" w:history="1">
        <w:r w:rsidRPr="00295348">
          <w:rPr>
            <w:rStyle w:val="Hyperlink"/>
          </w:rPr>
          <w:t>LIGO-T070247</w:t>
        </w:r>
      </w:hyperlink>
      <w:r>
        <w:t xml:space="preserve">). </w:t>
      </w:r>
    </w:p>
    <w:p w14:paraId="13BA86A1" w14:textId="77777777" w:rsidR="005F48B2" w:rsidRDefault="007313B9" w:rsidP="00D6198D">
      <w:pPr>
        <w:pStyle w:val="Heading1"/>
      </w:pPr>
      <w:r>
        <w:t>Design overview and detailed design documentation</w:t>
      </w:r>
    </w:p>
    <w:p w14:paraId="16BC83D1" w14:textId="511AFEE5" w:rsidR="00295348" w:rsidRPr="00453EE9" w:rsidRDefault="00295348" w:rsidP="00295348">
      <w:r>
        <w:t xml:space="preserve">Design documentation is in the </w:t>
      </w:r>
      <w:proofErr w:type="spellStart"/>
      <w:r>
        <w:t>aLIGO</w:t>
      </w:r>
      <w:proofErr w:type="spellEnd"/>
      <w:r>
        <w:t xml:space="preserve"> DCC tree, starting at: </w:t>
      </w:r>
      <w:hyperlink r:id="rId10" w:history="1">
        <w:r w:rsidRPr="00295348">
          <w:rPr>
            <w:rStyle w:val="Hyperlink"/>
          </w:rPr>
          <w:t>LIGO-E1200200</w:t>
        </w:r>
      </w:hyperlink>
      <w:r>
        <w:t xml:space="preserve">: </w:t>
      </w:r>
      <w:proofErr w:type="spellStart"/>
      <w:r>
        <w:t>aLIGO</w:t>
      </w:r>
      <w:proofErr w:type="spellEnd"/>
      <w:r>
        <w:t>, ISC, OMC</w:t>
      </w:r>
    </w:p>
    <w:p w14:paraId="5919B893" w14:textId="592C4B22" w:rsidR="00295348" w:rsidRPr="00453EE9" w:rsidRDefault="00295348" w:rsidP="00295348">
      <w:pPr>
        <w:widowControl w:val="0"/>
        <w:autoSpaceDE w:val="0"/>
        <w:autoSpaceDN w:val="0"/>
        <w:adjustRightInd w:val="0"/>
        <w:jc w:val="left"/>
        <w:rPr>
          <w:rFonts w:cs="Helvetica"/>
          <w:szCs w:val="24"/>
        </w:rPr>
      </w:pPr>
      <w:r w:rsidRPr="00531991">
        <w:rPr>
          <w:rFonts w:cs="Helvetica"/>
          <w:b/>
          <w:i/>
          <w:szCs w:val="24"/>
        </w:rPr>
        <w:t>a) Final Design Document (FDD):</w:t>
      </w:r>
      <w:r w:rsidR="00531991" w:rsidRPr="00531991">
        <w:rPr>
          <w:rFonts w:cs="Helvetica"/>
          <w:b/>
          <w:i/>
          <w:szCs w:val="24"/>
        </w:rPr>
        <w:br/>
      </w:r>
      <w:hyperlink r:id="rId11" w:history="1">
        <w:r w:rsidRPr="00295348">
          <w:rPr>
            <w:rStyle w:val="Hyperlink"/>
          </w:rPr>
          <w:t>LIGO-T1000276</w:t>
        </w:r>
      </w:hyperlink>
    </w:p>
    <w:p w14:paraId="4ACABC77"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b) Review reports:</w:t>
      </w:r>
    </w:p>
    <w:p w14:paraId="326CEA40" w14:textId="73C85217" w:rsidR="008203AA" w:rsidRDefault="00295348" w:rsidP="00295348">
      <w:pPr>
        <w:widowControl w:val="0"/>
        <w:autoSpaceDE w:val="0"/>
        <w:autoSpaceDN w:val="0"/>
        <w:adjustRightInd w:val="0"/>
        <w:jc w:val="left"/>
        <w:rPr>
          <w:rFonts w:cs="Helvetica"/>
          <w:szCs w:val="24"/>
        </w:rPr>
      </w:pPr>
      <w:r>
        <w:rPr>
          <w:rFonts w:cs="Helvetica"/>
          <w:szCs w:val="24"/>
        </w:rPr>
        <w:t xml:space="preserve">The </w:t>
      </w:r>
      <w:r w:rsidR="008203AA">
        <w:rPr>
          <w:rFonts w:cs="Helvetica"/>
          <w:szCs w:val="24"/>
        </w:rPr>
        <w:t>OMC</w:t>
      </w:r>
      <w:r>
        <w:rPr>
          <w:rFonts w:cs="Helvetica"/>
          <w:szCs w:val="24"/>
        </w:rPr>
        <w:t xml:space="preserve"> design was reviewed as a part of </w:t>
      </w:r>
      <w:r w:rsidR="009C11AC">
        <w:rPr>
          <w:rFonts w:cs="Helvetica"/>
          <w:szCs w:val="24"/>
        </w:rPr>
        <w:t xml:space="preserve">the </w:t>
      </w:r>
      <w:r>
        <w:rPr>
          <w:rFonts w:cs="Helvetica"/>
          <w:szCs w:val="24"/>
        </w:rPr>
        <w:t>ISC</w:t>
      </w:r>
      <w:r w:rsidR="009C11AC">
        <w:rPr>
          <w:rFonts w:cs="Helvetica"/>
          <w:szCs w:val="24"/>
        </w:rPr>
        <w:t xml:space="preserve"> Final Design Review (FDR)</w:t>
      </w:r>
      <w:r>
        <w:rPr>
          <w:rFonts w:cs="Helvetica"/>
          <w:szCs w:val="24"/>
        </w:rPr>
        <w:t xml:space="preserve">. </w:t>
      </w:r>
      <w:r w:rsidR="009C11AC">
        <w:rPr>
          <w:rFonts w:cs="Helvetica"/>
          <w:szCs w:val="24"/>
        </w:rPr>
        <w:t xml:space="preserve">The review report of the ISC FDR is found as </w:t>
      </w:r>
      <w:hyperlink r:id="rId12" w:history="1">
        <w:r w:rsidR="009C11AC" w:rsidRPr="009C11AC">
          <w:rPr>
            <w:rStyle w:val="Hyperlink"/>
            <w:rFonts w:cs="Helvetica"/>
            <w:szCs w:val="24"/>
          </w:rPr>
          <w:t>LIGO-T1000334</w:t>
        </w:r>
      </w:hyperlink>
      <w:r w:rsidR="009C11AC">
        <w:rPr>
          <w:rFonts w:cs="Helvetica"/>
          <w:szCs w:val="24"/>
        </w:rPr>
        <w:t>.</w:t>
      </w:r>
    </w:p>
    <w:p w14:paraId="2AD88DDB"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 xml:space="preserve">c) Supporting </w:t>
      </w:r>
      <w:proofErr w:type="gramStart"/>
      <w:r w:rsidRPr="00531991">
        <w:rPr>
          <w:rFonts w:cs="Helvetica"/>
          <w:b/>
          <w:i/>
          <w:szCs w:val="24"/>
        </w:rPr>
        <w:t>design</w:t>
      </w:r>
      <w:proofErr w:type="gramEnd"/>
      <w:r w:rsidRPr="00531991">
        <w:rPr>
          <w:rFonts w:cs="Helvetica"/>
          <w:b/>
          <w:i/>
          <w:szCs w:val="24"/>
        </w:rPr>
        <w:t xml:space="preserve"> documents: models, analyses, specifications, etc. </w:t>
      </w:r>
    </w:p>
    <w:p w14:paraId="50C6C288" w14:textId="77777777" w:rsidR="00295348" w:rsidRPr="00E57040" w:rsidRDefault="00295348" w:rsidP="00295348">
      <w:pPr>
        <w:widowControl w:val="0"/>
        <w:autoSpaceDE w:val="0"/>
        <w:autoSpaceDN w:val="0"/>
        <w:adjustRightInd w:val="0"/>
        <w:jc w:val="left"/>
        <w:rPr>
          <w:rFonts w:cs="Helvetica"/>
          <w:szCs w:val="24"/>
        </w:rPr>
      </w:pPr>
      <w:r>
        <w:rPr>
          <w:rFonts w:cs="Helvetica"/>
          <w:szCs w:val="24"/>
        </w:rPr>
        <w:t>None.</w:t>
      </w:r>
    </w:p>
    <w:p w14:paraId="16C827BF" w14:textId="77777777" w:rsidR="008203AA" w:rsidRPr="00531991" w:rsidRDefault="00295348" w:rsidP="00295348">
      <w:pPr>
        <w:widowControl w:val="0"/>
        <w:autoSpaceDE w:val="0"/>
        <w:autoSpaceDN w:val="0"/>
        <w:adjustRightInd w:val="0"/>
        <w:jc w:val="left"/>
        <w:rPr>
          <w:b/>
        </w:rPr>
      </w:pPr>
      <w:r w:rsidRPr="00531991">
        <w:rPr>
          <w:rFonts w:cs="Helvetica"/>
          <w:b/>
          <w:i/>
          <w:szCs w:val="24"/>
        </w:rPr>
        <w:t xml:space="preserve">d) Drawings: cite the </w:t>
      </w:r>
      <w:proofErr w:type="gramStart"/>
      <w:r w:rsidRPr="00531991">
        <w:rPr>
          <w:rFonts w:cs="Helvetica"/>
          <w:b/>
          <w:i/>
          <w:szCs w:val="24"/>
        </w:rPr>
        <w:t>top level</w:t>
      </w:r>
      <w:proofErr w:type="gramEnd"/>
      <w:r w:rsidRPr="00531991">
        <w:rPr>
          <w:rFonts w:cs="Helvetica"/>
          <w:b/>
          <w:i/>
          <w:szCs w:val="24"/>
        </w:rPr>
        <w:t xml:space="preserve"> assembly drawing for each major assembly or subsystem.</w:t>
      </w:r>
      <w:r w:rsidR="008203AA" w:rsidRPr="00531991">
        <w:rPr>
          <w:b/>
        </w:rPr>
        <w:t xml:space="preserve"> </w:t>
      </w:r>
    </w:p>
    <w:p w14:paraId="7421A92E" w14:textId="22BC7910" w:rsidR="00295348" w:rsidRDefault="008203AA" w:rsidP="00295348">
      <w:pPr>
        <w:widowControl w:val="0"/>
        <w:autoSpaceDE w:val="0"/>
        <w:autoSpaceDN w:val="0"/>
        <w:adjustRightInd w:val="0"/>
        <w:jc w:val="left"/>
        <w:rPr>
          <w:rFonts w:cs="Helvetica"/>
          <w:i/>
          <w:szCs w:val="24"/>
        </w:rPr>
      </w:pPr>
      <w:r>
        <w:t xml:space="preserve">All optical, mechanical, and electrical components </w:t>
      </w:r>
      <w:r w:rsidR="0001577E">
        <w:t xml:space="preserve">are linked from the tree </w:t>
      </w:r>
      <w:hyperlink r:id="rId13" w:history="1">
        <w:r w:rsidRPr="00295348">
          <w:rPr>
            <w:rStyle w:val="Hyperlink"/>
          </w:rPr>
          <w:t>LIGO-E1200200</w:t>
        </w:r>
      </w:hyperlink>
      <w:r w:rsidR="0001577E">
        <w:t>.</w:t>
      </w:r>
    </w:p>
    <w:p w14:paraId="01D3C605"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e) Bill(s) of Materials (BOM): cite any collected BOMs. If the BOMs are only to be found on the Assembly and Sub-Assembly drawing sheets, then state so.</w:t>
      </w:r>
    </w:p>
    <w:p w14:paraId="34606D0F" w14:textId="0194466D" w:rsidR="00295348" w:rsidRPr="00E57040" w:rsidRDefault="00295348" w:rsidP="00295348">
      <w:pPr>
        <w:widowControl w:val="0"/>
        <w:autoSpaceDE w:val="0"/>
        <w:autoSpaceDN w:val="0"/>
        <w:adjustRightInd w:val="0"/>
        <w:jc w:val="left"/>
        <w:rPr>
          <w:rFonts w:cs="Helvetica"/>
          <w:szCs w:val="24"/>
        </w:rPr>
      </w:pPr>
      <w:r>
        <w:rPr>
          <w:rFonts w:cs="Helvetica"/>
          <w:szCs w:val="24"/>
        </w:rPr>
        <w:t>BOMs are</w:t>
      </w:r>
      <w:r w:rsidR="0001577E">
        <w:rPr>
          <w:rFonts w:cs="Helvetica"/>
          <w:szCs w:val="24"/>
        </w:rPr>
        <w:t xml:space="preserve"> found in the assembly drawings for the mechanical and electrical components. </w:t>
      </w:r>
      <w:r w:rsidR="00FA6653">
        <w:rPr>
          <w:rFonts w:cs="Helvetica"/>
          <w:szCs w:val="24"/>
        </w:rPr>
        <w:t xml:space="preserve">List of the optics is found </w:t>
      </w:r>
      <w:hyperlink r:id="rId14" w:history="1">
        <w:r w:rsidR="00FA6653">
          <w:rPr>
            <w:rStyle w:val="Hyperlink"/>
            <w:rFonts w:cs="Helvetica"/>
            <w:szCs w:val="24"/>
          </w:rPr>
          <w:t>LIGO-C1107192</w:t>
        </w:r>
      </w:hyperlink>
      <w:r w:rsidR="00FA6653">
        <w:rPr>
          <w:rFonts w:cs="Helvetica"/>
          <w:szCs w:val="24"/>
        </w:rPr>
        <w:t>.</w:t>
      </w:r>
    </w:p>
    <w:p w14:paraId="7244979D"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f) Interface control: cite any documents (such as RODAs) with interface definition/control and/or cite the relevant sections of the DRD and FDD.</w:t>
      </w:r>
    </w:p>
    <w:p w14:paraId="4C795799" w14:textId="77777777" w:rsidR="00295348" w:rsidRPr="00E57040" w:rsidRDefault="00295348" w:rsidP="00295348">
      <w:pPr>
        <w:widowControl w:val="0"/>
        <w:autoSpaceDE w:val="0"/>
        <w:autoSpaceDN w:val="0"/>
        <w:adjustRightInd w:val="0"/>
        <w:jc w:val="left"/>
        <w:rPr>
          <w:rFonts w:cs="Helvetica"/>
          <w:szCs w:val="24"/>
        </w:rPr>
      </w:pPr>
      <w:r>
        <w:rPr>
          <w:rFonts w:cs="Helvetica"/>
          <w:szCs w:val="24"/>
        </w:rPr>
        <w:t>None.</w:t>
      </w:r>
    </w:p>
    <w:p w14:paraId="66226245"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g) Software: cite any software design description documentation.</w:t>
      </w:r>
    </w:p>
    <w:p w14:paraId="7E379939" w14:textId="257E8A2E" w:rsidR="00E22A96" w:rsidRDefault="00CB168F" w:rsidP="00295348">
      <w:pPr>
        <w:widowControl w:val="0"/>
        <w:autoSpaceDE w:val="0"/>
        <w:autoSpaceDN w:val="0"/>
        <w:adjustRightInd w:val="0"/>
        <w:jc w:val="left"/>
        <w:rPr>
          <w:rFonts w:cs="Helvetica"/>
          <w:szCs w:val="24"/>
        </w:rPr>
      </w:pPr>
      <w:hyperlink r:id="rId15" w:history="1">
        <w:r w:rsidR="00E22A96" w:rsidRPr="00E22A96">
          <w:rPr>
            <w:rStyle w:val="Hyperlink"/>
            <w:rFonts w:cs="Helvetica"/>
            <w:szCs w:val="24"/>
          </w:rPr>
          <w:t>LIGO-E1500161</w:t>
        </w:r>
      </w:hyperlink>
      <w:r w:rsidR="00E22A96">
        <w:rPr>
          <w:rFonts w:cs="Helvetica"/>
          <w:szCs w:val="24"/>
        </w:rPr>
        <w:t xml:space="preserve"> covers the descriptions of the </w:t>
      </w:r>
      <w:proofErr w:type="spellStart"/>
      <w:r w:rsidR="00E22A96">
        <w:rPr>
          <w:rFonts w:cs="Helvetica"/>
          <w:szCs w:val="24"/>
        </w:rPr>
        <w:t>realtime</w:t>
      </w:r>
      <w:proofErr w:type="spellEnd"/>
      <w:r w:rsidR="00E22A96">
        <w:rPr>
          <w:rFonts w:cs="Helvetica"/>
          <w:szCs w:val="24"/>
        </w:rPr>
        <w:t xml:space="preserve"> code for the OMC.</w:t>
      </w:r>
    </w:p>
    <w:p w14:paraId="1784BBE4" w14:textId="35FE1725"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h) Design source data:</w:t>
      </w:r>
    </w:p>
    <w:p w14:paraId="5A28E74D"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 xml:space="preserve">   - Confirm that all mechanical design CAD models are in the </w:t>
      </w:r>
      <w:proofErr w:type="spellStart"/>
      <w:r w:rsidRPr="00531991">
        <w:rPr>
          <w:rFonts w:cs="Helvetica"/>
          <w:b/>
          <w:i/>
          <w:szCs w:val="24"/>
        </w:rPr>
        <w:t>SolidWorks</w:t>
      </w:r>
      <w:proofErr w:type="spellEnd"/>
      <w:r w:rsidRPr="00531991">
        <w:rPr>
          <w:rFonts w:cs="Helvetica"/>
          <w:b/>
          <w:i/>
          <w:szCs w:val="24"/>
        </w:rPr>
        <w:t>/</w:t>
      </w:r>
      <w:proofErr w:type="spellStart"/>
      <w:r w:rsidRPr="00531991">
        <w:rPr>
          <w:rFonts w:cs="Helvetica"/>
          <w:b/>
          <w:i/>
          <w:szCs w:val="24"/>
        </w:rPr>
        <w:t>PDMWorks</w:t>
      </w:r>
      <w:proofErr w:type="spellEnd"/>
      <w:r w:rsidRPr="00531991">
        <w:rPr>
          <w:rFonts w:cs="Helvetica"/>
          <w:b/>
          <w:i/>
          <w:szCs w:val="24"/>
        </w:rPr>
        <w:t xml:space="preserve"> vault, or explain what is not and why.</w:t>
      </w:r>
    </w:p>
    <w:p w14:paraId="6E3E6E21" w14:textId="77777777" w:rsidR="00295348" w:rsidRPr="00531991" w:rsidRDefault="00295348" w:rsidP="00295348">
      <w:pPr>
        <w:widowControl w:val="0"/>
        <w:autoSpaceDE w:val="0"/>
        <w:autoSpaceDN w:val="0"/>
        <w:adjustRightInd w:val="0"/>
        <w:jc w:val="left"/>
        <w:rPr>
          <w:rFonts w:cs="Helvetica"/>
          <w:b/>
          <w:i/>
          <w:szCs w:val="24"/>
        </w:rPr>
      </w:pPr>
      <w:r w:rsidRPr="00531991">
        <w:rPr>
          <w:rFonts w:cs="Helvetica"/>
          <w:b/>
          <w:i/>
          <w:szCs w:val="24"/>
        </w:rPr>
        <w:t>   - Confirm that all electronics design CAD models (schematics and PWB layouts) are backed up and available on LIGO Lab archives, or explain what is not and why.</w:t>
      </w:r>
    </w:p>
    <w:p w14:paraId="49246934" w14:textId="77777777" w:rsidR="00E22A96" w:rsidRPr="00E8623E" w:rsidRDefault="00E22A96" w:rsidP="00E22A96">
      <w:pPr>
        <w:rPr>
          <w:color w:val="FF0000"/>
        </w:rPr>
      </w:pPr>
      <w:r w:rsidRPr="00E8623E">
        <w:rPr>
          <w:color w:val="FF0000"/>
        </w:rPr>
        <w:t>T</w:t>
      </w:r>
      <w:r w:rsidR="00531991" w:rsidRPr="00E8623E">
        <w:rPr>
          <w:color w:val="FF0000"/>
        </w:rPr>
        <w:t xml:space="preserve">he mechanical CAD design </w:t>
      </w:r>
      <w:r w:rsidRPr="00E8623E">
        <w:rPr>
          <w:color w:val="FF0000"/>
        </w:rPr>
        <w:t xml:space="preserve">tree for the OMC was inspected. The completeness and consistency of the </w:t>
      </w:r>
      <w:proofErr w:type="spellStart"/>
      <w:r w:rsidR="004315A4" w:rsidRPr="00E8623E">
        <w:rPr>
          <w:color w:val="FF0000"/>
        </w:rPr>
        <w:t>SolidWorks</w:t>
      </w:r>
      <w:proofErr w:type="spellEnd"/>
      <w:r w:rsidR="004315A4" w:rsidRPr="00E8623E">
        <w:rPr>
          <w:color w:val="FF0000"/>
        </w:rPr>
        <w:t xml:space="preserve"> vault</w:t>
      </w:r>
      <w:r w:rsidRPr="00E8623E">
        <w:rPr>
          <w:color w:val="FF0000"/>
        </w:rPr>
        <w:t xml:space="preserve"> were assessed. SYS group was notified about the issue list and </w:t>
      </w:r>
      <w:proofErr w:type="gramStart"/>
      <w:r w:rsidRPr="00E8623E">
        <w:rPr>
          <w:color w:val="FF0000"/>
        </w:rPr>
        <w:t>are</w:t>
      </w:r>
      <w:proofErr w:type="gramEnd"/>
      <w:r w:rsidRPr="00E8623E">
        <w:rPr>
          <w:color w:val="FF0000"/>
        </w:rPr>
        <w:t xml:space="preserve"> being addressed.</w:t>
      </w:r>
      <w:r w:rsidR="004315A4" w:rsidRPr="00E8623E">
        <w:rPr>
          <w:color w:val="FF0000"/>
        </w:rPr>
        <w:t xml:space="preserve"> </w:t>
      </w:r>
    </w:p>
    <w:p w14:paraId="6C13DD2C" w14:textId="14E4BBCC" w:rsidR="00295348" w:rsidRPr="003034E8" w:rsidRDefault="004315A4" w:rsidP="00E22A96">
      <w:r>
        <w:t>The electronics design files are included in the DCC entries.</w:t>
      </w:r>
    </w:p>
    <w:p w14:paraId="1E92CC62" w14:textId="77777777" w:rsidR="005F48B2" w:rsidRDefault="007313B9" w:rsidP="00D6198D">
      <w:pPr>
        <w:pStyle w:val="Heading1"/>
      </w:pPr>
      <w:r>
        <w:lastRenderedPageBreak/>
        <w:t>Materials and fabrication specification</w:t>
      </w:r>
    </w:p>
    <w:p w14:paraId="00B78EAB" w14:textId="0064B7B7" w:rsidR="007313B9" w:rsidRPr="00531991" w:rsidRDefault="007313B9" w:rsidP="007313B9">
      <w:pPr>
        <w:rPr>
          <w:b/>
          <w:i/>
        </w:rPr>
      </w:pPr>
      <w:r w:rsidRPr="00531991">
        <w:rPr>
          <w:b/>
          <w:i/>
        </w:rPr>
        <w:t>Any special materials, or treatment of materials including preparation for in-vacuum use; this may be integrated into the Design documentation.</w:t>
      </w:r>
    </w:p>
    <w:p w14:paraId="7B046934" w14:textId="592DD7CC" w:rsidR="00D6198D" w:rsidRPr="00D6198D" w:rsidRDefault="00D6198D" w:rsidP="007313B9">
      <w:pPr>
        <w:rPr>
          <w:b/>
          <w:color w:val="008000"/>
        </w:rPr>
      </w:pPr>
      <w:r w:rsidRPr="00D6198D">
        <w:t xml:space="preserve">All glass, PEEK, </w:t>
      </w:r>
      <w:r>
        <w:t xml:space="preserve">PZT </w:t>
      </w:r>
      <w:r w:rsidRPr="00D6198D">
        <w:t xml:space="preserve">and </w:t>
      </w:r>
      <w:r>
        <w:t>cable</w:t>
      </w:r>
      <w:r w:rsidRPr="00D6198D">
        <w:t xml:space="preserve"> materials are </w:t>
      </w:r>
      <w:r>
        <w:t xml:space="preserve">treated as </w:t>
      </w:r>
      <w:r w:rsidRPr="00D6198D">
        <w:t xml:space="preserve">standard </w:t>
      </w:r>
      <w:r>
        <w:t xml:space="preserve">CLASS </w:t>
      </w:r>
      <w:proofErr w:type="gramStart"/>
      <w:r>
        <w:t>A</w:t>
      </w:r>
      <w:proofErr w:type="gramEnd"/>
      <w:r w:rsidRPr="00D6198D">
        <w:t xml:space="preserve"> materials.</w:t>
      </w:r>
    </w:p>
    <w:p w14:paraId="1CE8D90A" w14:textId="5D0FF706" w:rsidR="007313B9" w:rsidRPr="00D6198D" w:rsidRDefault="007313B9" w:rsidP="00D6198D">
      <w:pPr>
        <w:pStyle w:val="Heading1"/>
      </w:pPr>
      <w:r w:rsidRPr="00D6198D">
        <w:t xml:space="preserve">Parts and </w:t>
      </w:r>
      <w:r w:rsidR="003D4D8F" w:rsidRPr="00D6198D">
        <w:t xml:space="preserve">in-process </w:t>
      </w:r>
      <w:r w:rsidRPr="00D6198D">
        <w:t>spares inventoried</w:t>
      </w:r>
    </w:p>
    <w:p w14:paraId="4E641EFF" w14:textId="77777777" w:rsidR="00D6198D" w:rsidRDefault="00D6198D" w:rsidP="00D6198D">
      <w:r>
        <w:t xml:space="preserve">The ICS entry for the OMC #1 to #3 are found in the ICS as </w:t>
      </w:r>
    </w:p>
    <w:p w14:paraId="7276EDB8" w14:textId="25175771" w:rsidR="00D6198D" w:rsidRDefault="00CB168F" w:rsidP="00D6198D">
      <w:hyperlink r:id="rId16" w:history="1">
        <w:r w:rsidR="00D6198D">
          <w:rPr>
            <w:rStyle w:val="Hyperlink"/>
          </w:rPr>
          <w:t>ASSY-D1201439-1</w:t>
        </w:r>
      </w:hyperlink>
      <w:r w:rsidR="00D6198D">
        <w:t xml:space="preserve"> / </w:t>
      </w:r>
      <w:hyperlink r:id="rId17" w:history="1">
        <w:r w:rsidR="00D6198D">
          <w:rPr>
            <w:rStyle w:val="Hyperlink"/>
          </w:rPr>
          <w:t>ASSY-D1201439-002</w:t>
        </w:r>
      </w:hyperlink>
      <w:r w:rsidR="00D6198D">
        <w:t xml:space="preserve"> / </w:t>
      </w:r>
      <w:hyperlink r:id="rId18" w:history="1">
        <w:r w:rsidR="00D6198D">
          <w:rPr>
            <w:rStyle w:val="Hyperlink"/>
          </w:rPr>
          <w:t>ASSY-D1201439-3_2</w:t>
        </w:r>
      </w:hyperlink>
    </w:p>
    <w:p w14:paraId="307914F2" w14:textId="1CE7C0AE" w:rsidR="00D6198D" w:rsidRPr="00E826F4" w:rsidRDefault="00D6198D" w:rsidP="00D6198D">
      <w:r>
        <w:t>There</w:t>
      </w:r>
      <w:r w:rsidR="00500DA6">
        <w:t xml:space="preserve"> is no completed spare OMC unit.</w:t>
      </w:r>
    </w:p>
    <w:p w14:paraId="10878CAC" w14:textId="77777777" w:rsidR="007313B9" w:rsidRDefault="007313B9" w:rsidP="00D6198D">
      <w:pPr>
        <w:pStyle w:val="Heading1"/>
      </w:pPr>
      <w:r w:rsidRPr="00810FE9">
        <w:t>Assembly</w:t>
      </w:r>
      <w:r>
        <w:t xml:space="preserve"> procedures</w:t>
      </w:r>
    </w:p>
    <w:p w14:paraId="791B8308" w14:textId="40620937" w:rsidR="001A71E9" w:rsidRPr="003034E8" w:rsidRDefault="001A71E9" w:rsidP="001A71E9">
      <w:r>
        <w:t>Assembly and installation procedure</w:t>
      </w:r>
      <w:r w:rsidR="004315A4">
        <w:t>s are covered in the following document</w:t>
      </w:r>
      <w:r>
        <w:t xml:space="preserve">: </w:t>
      </w:r>
      <w:hyperlink r:id="rId19" w:history="1">
        <w:r w:rsidRPr="001A71E9">
          <w:rPr>
            <w:rStyle w:val="Hyperlink"/>
          </w:rPr>
          <w:t>LIGO-E1300201</w:t>
        </w:r>
      </w:hyperlink>
    </w:p>
    <w:p w14:paraId="2E762547" w14:textId="77777777" w:rsidR="007313B9" w:rsidRDefault="007313B9" w:rsidP="00D6198D">
      <w:pPr>
        <w:pStyle w:val="Heading1"/>
      </w:pPr>
      <w:r w:rsidRPr="00810FE9">
        <w:t>Installation</w:t>
      </w:r>
      <w:r>
        <w:t xml:space="preserve"> procedures</w:t>
      </w:r>
    </w:p>
    <w:p w14:paraId="0065379B" w14:textId="13809541" w:rsidR="001A71E9" w:rsidRPr="003034E8" w:rsidRDefault="004315A4" w:rsidP="001A71E9">
      <w:r>
        <w:t xml:space="preserve">Assembly and installation procedures are covered in the following document </w:t>
      </w:r>
      <w:hyperlink r:id="rId20" w:history="1">
        <w:r w:rsidR="001A71E9" w:rsidRPr="001A71E9">
          <w:rPr>
            <w:rStyle w:val="Hyperlink"/>
          </w:rPr>
          <w:t>LIGO-E1300201</w:t>
        </w:r>
      </w:hyperlink>
    </w:p>
    <w:p w14:paraId="3D60F942" w14:textId="77777777" w:rsidR="00E2392E" w:rsidRDefault="00E2392E" w:rsidP="00D6198D">
      <w:pPr>
        <w:pStyle w:val="Heading1"/>
      </w:pPr>
      <w:r>
        <w:t>Test documents</w:t>
      </w:r>
    </w:p>
    <w:p w14:paraId="18C30AC7" w14:textId="1567BB91" w:rsidR="0087288E" w:rsidRPr="00531991" w:rsidRDefault="0087288E" w:rsidP="00E2392E">
      <w:r w:rsidRPr="00531991">
        <w:t xml:space="preserve">Test documents are </w:t>
      </w:r>
      <w:r w:rsidR="00E8623E">
        <w:t xml:space="preserve">to be </w:t>
      </w:r>
      <w:r w:rsidRPr="00531991">
        <w:t>found in each of the following links</w:t>
      </w:r>
    </w:p>
    <w:p w14:paraId="52483C82" w14:textId="5F729B18" w:rsidR="0087288E" w:rsidRDefault="00CB168F" w:rsidP="0087288E">
      <w:hyperlink r:id="rId21" w:tooltip="LIGO-E1300522-x0" w:history="1">
        <w:r w:rsidR="0087288E">
          <w:rPr>
            <w:rStyle w:val="Hyperlink"/>
          </w:rPr>
          <w:t xml:space="preserve">LIGO-E1300522 </w:t>
        </w:r>
        <w:proofErr w:type="spellStart"/>
        <w:r w:rsidR="0087288E">
          <w:rPr>
            <w:rStyle w:val="Hyperlink"/>
          </w:rPr>
          <w:t>aLIGO</w:t>
        </w:r>
        <w:proofErr w:type="spellEnd"/>
        <w:r w:rsidR="0087288E">
          <w:rPr>
            <w:rStyle w:val="Hyperlink"/>
          </w:rPr>
          <w:t>, ISC, OMC, L1</w:t>
        </w:r>
      </w:hyperlink>
      <w:r w:rsidR="0087288E">
        <w:t xml:space="preserve"> </w:t>
      </w:r>
    </w:p>
    <w:p w14:paraId="38462975" w14:textId="4238C22C" w:rsidR="0087288E" w:rsidRDefault="00CB168F" w:rsidP="0087288E">
      <w:hyperlink r:id="rId22" w:tooltip="LIGO-E1300523-x0" w:history="1">
        <w:r w:rsidR="0087288E">
          <w:rPr>
            <w:rStyle w:val="Hyperlink"/>
          </w:rPr>
          <w:t xml:space="preserve">LIGO-E1300523 </w:t>
        </w:r>
        <w:proofErr w:type="spellStart"/>
        <w:r w:rsidR="0087288E">
          <w:rPr>
            <w:rStyle w:val="Hyperlink"/>
          </w:rPr>
          <w:t>aLIGO</w:t>
        </w:r>
        <w:proofErr w:type="spellEnd"/>
        <w:r w:rsidR="0087288E">
          <w:rPr>
            <w:rStyle w:val="Hyperlink"/>
          </w:rPr>
          <w:t>, ISC, OMC, H1</w:t>
        </w:r>
      </w:hyperlink>
      <w:r w:rsidR="0087288E">
        <w:t xml:space="preserve"> </w:t>
      </w:r>
    </w:p>
    <w:p w14:paraId="4C472F25" w14:textId="2402514A" w:rsidR="00E2392E" w:rsidRDefault="00CB168F" w:rsidP="0087288E">
      <w:pPr>
        <w:rPr>
          <w:rStyle w:val="Hyperlink"/>
        </w:rPr>
      </w:pPr>
      <w:hyperlink r:id="rId23" w:tooltip="LIGO-E1500007-x0" w:history="1">
        <w:r w:rsidR="0087288E">
          <w:rPr>
            <w:rStyle w:val="Hyperlink"/>
          </w:rPr>
          <w:t xml:space="preserve">LIGO-E1500007 </w:t>
        </w:r>
        <w:proofErr w:type="spellStart"/>
        <w:r w:rsidR="0087288E">
          <w:rPr>
            <w:rStyle w:val="Hyperlink"/>
          </w:rPr>
          <w:t>aLIGO</w:t>
        </w:r>
        <w:proofErr w:type="spellEnd"/>
        <w:r w:rsidR="0087288E">
          <w:rPr>
            <w:rStyle w:val="Hyperlink"/>
          </w:rPr>
          <w:t>, ISC, OMC, 3IFO</w:t>
        </w:r>
      </w:hyperlink>
    </w:p>
    <w:p w14:paraId="136499AA" w14:textId="7EFB89B6" w:rsidR="00E8623E" w:rsidRPr="00E8623E" w:rsidRDefault="00E8623E" w:rsidP="0087288E">
      <w:pPr>
        <w:rPr>
          <w:color w:val="FF0000"/>
        </w:rPr>
      </w:pPr>
      <w:r w:rsidRPr="00E8623E">
        <w:rPr>
          <w:color w:val="FF0000"/>
        </w:rPr>
        <w:t>A comprehensive test document should be prepared. This is on the way.</w:t>
      </w:r>
    </w:p>
    <w:p w14:paraId="61E873EF" w14:textId="77777777" w:rsidR="00223FBC" w:rsidRPr="00223FBC" w:rsidRDefault="00223FBC" w:rsidP="00D6198D">
      <w:pPr>
        <w:pStyle w:val="Heading1"/>
      </w:pPr>
      <w:r w:rsidRPr="00810FE9">
        <w:t>User interface software</w:t>
      </w:r>
    </w:p>
    <w:p w14:paraId="2DB47B55" w14:textId="77777777" w:rsidR="00E2392E" w:rsidRDefault="00223FBC" w:rsidP="00E2392E">
      <w:pPr>
        <w:rPr>
          <w:b/>
          <w:i/>
        </w:rPr>
      </w:pPr>
      <w:r w:rsidRPr="00E22A96">
        <w:rPr>
          <w:b/>
          <w:i/>
        </w:rPr>
        <w:t>User interface software, and the test routines indicating proper functioning of the software, must be described in words and have code under configuration control (SVN). Watchdog and Guardian routines must also be treated in this way.</w:t>
      </w:r>
    </w:p>
    <w:p w14:paraId="7CD2C37A" w14:textId="43A9BFD8" w:rsidR="00E22A96" w:rsidRPr="00E22A96" w:rsidRDefault="00CB168F" w:rsidP="00E22A96">
      <w:pPr>
        <w:widowControl w:val="0"/>
        <w:autoSpaceDE w:val="0"/>
        <w:autoSpaceDN w:val="0"/>
        <w:adjustRightInd w:val="0"/>
        <w:jc w:val="left"/>
        <w:rPr>
          <w:rFonts w:cs="Helvetica"/>
          <w:szCs w:val="24"/>
        </w:rPr>
      </w:pPr>
      <w:hyperlink r:id="rId24" w:history="1">
        <w:r w:rsidR="00E22A96" w:rsidRPr="00E22A96">
          <w:rPr>
            <w:rStyle w:val="Hyperlink"/>
            <w:rFonts w:cs="Helvetica"/>
            <w:szCs w:val="24"/>
          </w:rPr>
          <w:t>LIGO-E1500161</w:t>
        </w:r>
      </w:hyperlink>
      <w:r w:rsidR="00E22A96">
        <w:rPr>
          <w:rFonts w:cs="Helvetica"/>
          <w:szCs w:val="24"/>
        </w:rPr>
        <w:t xml:space="preserve"> covers the descriptions of the </w:t>
      </w:r>
      <w:proofErr w:type="spellStart"/>
      <w:r w:rsidR="00E22A96">
        <w:rPr>
          <w:rFonts w:cs="Helvetica"/>
          <w:szCs w:val="24"/>
        </w:rPr>
        <w:t>realtime</w:t>
      </w:r>
      <w:proofErr w:type="spellEnd"/>
      <w:r w:rsidR="00E22A96">
        <w:rPr>
          <w:rFonts w:cs="Helvetica"/>
          <w:szCs w:val="24"/>
        </w:rPr>
        <w:t xml:space="preserve"> code (RCG code) and the main MEDM screens for the OMC. All of the codes and screens are under control of the common SVN repository.</w:t>
      </w:r>
    </w:p>
    <w:p w14:paraId="0287D59D" w14:textId="197A1DB7" w:rsidR="00E22A96" w:rsidRPr="00E22A96" w:rsidRDefault="00223FBC" w:rsidP="00E22A96">
      <w:pPr>
        <w:pStyle w:val="Heading1"/>
      </w:pPr>
      <w:r w:rsidRPr="00BF3491">
        <w:t>Operation Manual</w:t>
      </w:r>
    </w:p>
    <w:p w14:paraId="21BDA940" w14:textId="5EC11172" w:rsidR="00223FBC" w:rsidRDefault="00223FBC" w:rsidP="00223FBC">
      <w:pPr>
        <w:rPr>
          <w:b/>
          <w:i/>
        </w:rPr>
      </w:pPr>
      <w:r w:rsidRPr="00E22A96">
        <w:rPr>
          <w:b/>
          <w:i/>
        </w:rPr>
        <w:t xml:space="preserve">A manual appropriate for operators, written in accordance with M1200366, covering setup/initialization, </w:t>
      </w:r>
      <w:proofErr w:type="gramStart"/>
      <w:r w:rsidRPr="00E22A96">
        <w:rPr>
          <w:b/>
          <w:i/>
        </w:rPr>
        <w:t>check-out</w:t>
      </w:r>
      <w:proofErr w:type="gramEnd"/>
      <w:r w:rsidRPr="00E22A96">
        <w:rPr>
          <w:b/>
          <w:i/>
        </w:rPr>
        <w:t>, operating instructions, calibration, maintenance,</w:t>
      </w:r>
      <w:r w:rsidR="003D4D8F" w:rsidRPr="00E22A96">
        <w:rPr>
          <w:b/>
          <w:i/>
        </w:rPr>
        <w:t xml:space="preserve"> operations spares plan,</w:t>
      </w:r>
      <w:r w:rsidRPr="00E22A96">
        <w:rPr>
          <w:b/>
          <w:i/>
        </w:rPr>
        <w:t xml:space="preserve"> storage/transport and troubleshooting. It must be accessible from standard user screens.</w:t>
      </w:r>
    </w:p>
    <w:p w14:paraId="4DFEFD8D" w14:textId="1B7FD305" w:rsidR="00E22A96" w:rsidRPr="00E22A96" w:rsidRDefault="00CB168F" w:rsidP="00E22A96">
      <w:pPr>
        <w:widowControl w:val="0"/>
        <w:autoSpaceDE w:val="0"/>
        <w:autoSpaceDN w:val="0"/>
        <w:adjustRightInd w:val="0"/>
        <w:jc w:val="left"/>
        <w:rPr>
          <w:rFonts w:cs="Helvetica"/>
          <w:szCs w:val="24"/>
        </w:rPr>
      </w:pPr>
      <w:hyperlink r:id="rId25" w:history="1">
        <w:r w:rsidR="00E22A96" w:rsidRPr="00E22A96">
          <w:rPr>
            <w:rStyle w:val="Hyperlink"/>
            <w:rFonts w:cs="Helvetica"/>
            <w:szCs w:val="24"/>
          </w:rPr>
          <w:t>LIGO-E1500161</w:t>
        </w:r>
      </w:hyperlink>
      <w:r w:rsidR="00E22A96">
        <w:rPr>
          <w:rFonts w:cs="Helvetica"/>
          <w:szCs w:val="24"/>
        </w:rPr>
        <w:t xml:space="preserve"> covers the descriptions of the main MEDM screens. This provides some explanation how the parameters for the </w:t>
      </w:r>
      <w:proofErr w:type="spellStart"/>
      <w:r w:rsidR="00E22A96">
        <w:rPr>
          <w:rFonts w:cs="Helvetica"/>
          <w:szCs w:val="24"/>
        </w:rPr>
        <w:t>realtime</w:t>
      </w:r>
      <w:proofErr w:type="spellEnd"/>
      <w:r w:rsidR="00E22A96">
        <w:rPr>
          <w:rFonts w:cs="Helvetica"/>
          <w:szCs w:val="24"/>
        </w:rPr>
        <w:t xml:space="preserve"> code can be changed from the MEDM screens.</w:t>
      </w:r>
    </w:p>
    <w:p w14:paraId="2FC71FED" w14:textId="77777777" w:rsidR="00E22A96" w:rsidRPr="00E22A96" w:rsidRDefault="00E22A96" w:rsidP="00223FBC">
      <w:pPr>
        <w:rPr>
          <w:b/>
          <w:i/>
        </w:rPr>
      </w:pPr>
    </w:p>
    <w:p w14:paraId="28F56D84" w14:textId="0F680F92" w:rsidR="00E22A96" w:rsidRDefault="00CB2AD5" w:rsidP="00E22A96">
      <w:pPr>
        <w:pStyle w:val="Heading1"/>
      </w:pPr>
      <w:r>
        <w:lastRenderedPageBreak/>
        <w:t xml:space="preserve"> </w:t>
      </w:r>
      <w:r w:rsidR="00223FBC" w:rsidRPr="00223FBC">
        <w:t>Safety</w:t>
      </w:r>
    </w:p>
    <w:p w14:paraId="34BF5FDD" w14:textId="2CCD6F36" w:rsidR="00CB168F" w:rsidRPr="00CB168F" w:rsidRDefault="00CB168F" w:rsidP="00CB168F">
      <w:r>
        <w:t>The following safety documents shall be referenced for any maintenance or repairs:</w:t>
      </w:r>
    </w:p>
    <w:p w14:paraId="707274EA" w14:textId="71FC1EE1" w:rsidR="00CB168F" w:rsidRDefault="00126061" w:rsidP="00223FBC">
      <w:pPr>
        <w:rPr>
          <w:rStyle w:val="Hyperlink"/>
        </w:rPr>
      </w:pPr>
      <w:r w:rsidRPr="00126061">
        <w:t xml:space="preserve">OMC Assembly and Installation Hazard Analysis: </w:t>
      </w:r>
      <w:hyperlink r:id="rId26" w:history="1">
        <w:r w:rsidRPr="00126061">
          <w:rPr>
            <w:rStyle w:val="Hyperlink"/>
          </w:rPr>
          <w:t>LIGO-E1300152</w:t>
        </w:r>
      </w:hyperlink>
    </w:p>
    <w:p w14:paraId="6B78CECC" w14:textId="14A26312" w:rsidR="00CB168F" w:rsidRPr="00CB168F" w:rsidRDefault="00CB168F" w:rsidP="00223FBC">
      <w:proofErr w:type="spellStart"/>
      <w:r>
        <w:rPr>
          <w:rStyle w:val="Hyperlink"/>
          <w:color w:val="auto"/>
          <w:u w:val="none"/>
        </w:rPr>
        <w:t>AdvLIGO</w:t>
      </w:r>
      <w:proofErr w:type="spellEnd"/>
      <w:r>
        <w:rPr>
          <w:rStyle w:val="Hyperlink"/>
          <w:color w:val="auto"/>
          <w:u w:val="none"/>
        </w:rPr>
        <w:t xml:space="preserve"> OMC Hazard Analysis: LIGO-E0900042</w:t>
      </w:r>
    </w:p>
    <w:sectPr w:rsidR="00CB168F" w:rsidRPr="00CB168F">
      <w:headerReference w:type="default" r:id="rId27"/>
      <w:footerReference w:type="even" r:id="rId28"/>
      <w:footerReference w:type="default" r:id="rId29"/>
      <w:headerReference w:type="first" r:id="rId30"/>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F828" w14:textId="77777777" w:rsidR="00E22A96" w:rsidRDefault="00E22A96">
      <w:r>
        <w:separator/>
      </w:r>
    </w:p>
  </w:endnote>
  <w:endnote w:type="continuationSeparator" w:id="0">
    <w:p w14:paraId="55821BDF" w14:textId="77777777" w:rsidR="00E22A96" w:rsidRDefault="00E2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1E859A" w14:textId="77777777" w:rsidR="00E22A96" w:rsidRDefault="00E22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85F4D" w14:textId="77777777" w:rsidR="00E22A96" w:rsidRDefault="00E22A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1A22F" w14:textId="77777777" w:rsidR="00E22A96" w:rsidRDefault="00E22A9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B168F">
      <w:rPr>
        <w:rStyle w:val="PageNumber"/>
        <w:noProof/>
      </w:rPr>
      <w:t>2</w:t>
    </w:r>
    <w:r>
      <w:rPr>
        <w:rStyle w:val="PageNumber"/>
      </w:rPr>
      <w:fldChar w:fldCharType="end"/>
    </w:r>
  </w:p>
  <w:p w14:paraId="3C67BF4A" w14:textId="77777777" w:rsidR="00E22A96" w:rsidRDefault="00E22A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4E53" w14:textId="77777777" w:rsidR="00E22A96" w:rsidRDefault="00E22A96">
      <w:r>
        <w:separator/>
      </w:r>
    </w:p>
  </w:footnote>
  <w:footnote w:type="continuationSeparator" w:id="0">
    <w:p w14:paraId="78784471" w14:textId="77777777" w:rsidR="00E22A96" w:rsidRDefault="00E22A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3280F3" w14:textId="05AAB5D1" w:rsidR="00E22A96" w:rsidRDefault="00E22A96">
    <w:pPr>
      <w:pStyle w:val="Header"/>
      <w:tabs>
        <w:tab w:val="clear" w:pos="4320"/>
        <w:tab w:val="center" w:pos="4680"/>
      </w:tabs>
      <w:jc w:val="left"/>
      <w:rPr>
        <w:sz w:val="20"/>
      </w:rPr>
    </w:pPr>
    <w:r>
      <w:rPr>
        <w:b/>
        <w:bCs/>
        <w:i/>
        <w:iCs/>
        <w:color w:val="0000FF"/>
        <w:sz w:val="20"/>
      </w:rPr>
      <w:t>LIGO</w:t>
    </w:r>
    <w:r w:rsidR="00CB168F">
      <w:rPr>
        <w:sz w:val="20"/>
      </w:rPr>
      <w:tab/>
      <w:t>LIGO-E1500008-v2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32460F" w14:textId="77777777" w:rsidR="00E22A96" w:rsidRDefault="00E22A96">
    <w:pPr>
      <w:pStyle w:val="Header"/>
      <w:jc w:val="right"/>
    </w:pPr>
    <w:r>
      <w:rPr>
        <w:b/>
        <w:caps/>
      </w:rPr>
      <w:t>Laser Interferometer Gravitational Wave Observatory</w:t>
    </w:r>
    <w:r>
      <w:rPr>
        <w:noProof/>
        <w:sz w:val="20"/>
      </w:rPr>
      <w:t xml:space="preserve"> </w:t>
    </w:r>
    <w:r w:rsidR="00CB168F">
      <w:rPr>
        <w:noProof/>
        <w:sz w:val="20"/>
      </w:rPr>
      <w:pict w14:anchorId="6D33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61600903"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A433082"/>
    <w:multiLevelType w:val="multilevel"/>
    <w:tmpl w:val="9D786C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17"/>
  </w:num>
  <w:num w:numId="26">
    <w:abstractNumId w:val="17"/>
  </w:num>
  <w:num w:numId="27">
    <w:abstractNumId w:val="17"/>
  </w:num>
  <w:num w:numId="28">
    <w:abstractNumId w:val="17"/>
  </w:num>
  <w:num w:numId="29">
    <w:abstractNumId w:val="9"/>
  </w:num>
  <w:num w:numId="30">
    <w:abstractNumId w:val="17"/>
  </w:num>
  <w:num w:numId="31">
    <w:abstractNumId w:val="17"/>
  </w:num>
  <w:num w:numId="32">
    <w:abstractNumId w:val="1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577E"/>
    <w:rsid w:val="00126061"/>
    <w:rsid w:val="001A71E9"/>
    <w:rsid w:val="001B3B66"/>
    <w:rsid w:val="00223FBC"/>
    <w:rsid w:val="00255B4C"/>
    <w:rsid w:val="00295348"/>
    <w:rsid w:val="0036226E"/>
    <w:rsid w:val="003D4D8F"/>
    <w:rsid w:val="004315A4"/>
    <w:rsid w:val="004D2405"/>
    <w:rsid w:val="00500DA6"/>
    <w:rsid w:val="00531991"/>
    <w:rsid w:val="0054334E"/>
    <w:rsid w:val="00563A05"/>
    <w:rsid w:val="005E13FE"/>
    <w:rsid w:val="005F48B2"/>
    <w:rsid w:val="0060173C"/>
    <w:rsid w:val="007313B9"/>
    <w:rsid w:val="00746871"/>
    <w:rsid w:val="00776291"/>
    <w:rsid w:val="0078145B"/>
    <w:rsid w:val="008203AA"/>
    <w:rsid w:val="00832753"/>
    <w:rsid w:val="0087288E"/>
    <w:rsid w:val="008E7496"/>
    <w:rsid w:val="009022BF"/>
    <w:rsid w:val="009C11AC"/>
    <w:rsid w:val="00A34ABF"/>
    <w:rsid w:val="00BC37C2"/>
    <w:rsid w:val="00CB168F"/>
    <w:rsid w:val="00CB2AD5"/>
    <w:rsid w:val="00CC3B9F"/>
    <w:rsid w:val="00CF529A"/>
    <w:rsid w:val="00D6198D"/>
    <w:rsid w:val="00E22A96"/>
    <w:rsid w:val="00E2392E"/>
    <w:rsid w:val="00E271E7"/>
    <w:rsid w:val="00E66298"/>
    <w:rsid w:val="00E8623E"/>
    <w:rsid w:val="00F5292B"/>
    <w:rsid w:val="00F65452"/>
    <w:rsid w:val="00FA6653"/>
    <w:rsid w:val="00FB3DAE"/>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E24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D6198D"/>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2953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D6198D"/>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295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7851">
      <w:bodyDiv w:val="1"/>
      <w:marLeft w:val="0"/>
      <w:marRight w:val="0"/>
      <w:marTop w:val="0"/>
      <w:marBottom w:val="0"/>
      <w:divBdr>
        <w:top w:val="none" w:sz="0" w:space="0" w:color="auto"/>
        <w:left w:val="none" w:sz="0" w:space="0" w:color="auto"/>
        <w:bottom w:val="none" w:sz="0" w:space="0" w:color="auto"/>
        <w:right w:val="none" w:sz="0" w:space="0" w:color="auto"/>
      </w:divBdr>
    </w:div>
    <w:div w:id="585578355">
      <w:bodyDiv w:val="1"/>
      <w:marLeft w:val="0"/>
      <w:marRight w:val="0"/>
      <w:marTop w:val="0"/>
      <w:marBottom w:val="0"/>
      <w:divBdr>
        <w:top w:val="none" w:sz="0" w:space="0" w:color="auto"/>
        <w:left w:val="none" w:sz="0" w:space="0" w:color="auto"/>
        <w:bottom w:val="none" w:sz="0" w:space="0" w:color="auto"/>
        <w:right w:val="none" w:sz="0" w:space="0" w:color="auto"/>
      </w:divBdr>
    </w:div>
    <w:div w:id="1141271477">
      <w:bodyDiv w:val="1"/>
      <w:marLeft w:val="0"/>
      <w:marRight w:val="0"/>
      <w:marTop w:val="0"/>
      <w:marBottom w:val="0"/>
      <w:divBdr>
        <w:top w:val="none" w:sz="0" w:space="0" w:color="auto"/>
        <w:left w:val="none" w:sz="0" w:space="0" w:color="auto"/>
        <w:bottom w:val="none" w:sz="0" w:space="0" w:color="auto"/>
        <w:right w:val="none" w:sz="0" w:space="0" w:color="auto"/>
      </w:divBdr>
    </w:div>
    <w:div w:id="1981766121">
      <w:bodyDiv w:val="1"/>
      <w:marLeft w:val="0"/>
      <w:marRight w:val="0"/>
      <w:marTop w:val="0"/>
      <w:marBottom w:val="0"/>
      <w:divBdr>
        <w:top w:val="none" w:sz="0" w:space="0" w:color="auto"/>
        <w:left w:val="none" w:sz="0" w:space="0" w:color="auto"/>
        <w:bottom w:val="none" w:sz="0" w:space="0" w:color="auto"/>
        <w:right w:val="none" w:sz="0" w:space="0" w:color="auto"/>
      </w:divBdr>
      <w:divsChild>
        <w:div w:id="441190880">
          <w:marLeft w:val="0"/>
          <w:marRight w:val="0"/>
          <w:marTop w:val="0"/>
          <w:marBottom w:val="0"/>
          <w:divBdr>
            <w:top w:val="none" w:sz="0" w:space="0" w:color="auto"/>
            <w:left w:val="none" w:sz="0" w:space="0" w:color="auto"/>
            <w:bottom w:val="none" w:sz="0" w:space="0" w:color="auto"/>
            <w:right w:val="none" w:sz="0" w:space="0" w:color="auto"/>
          </w:divBdr>
          <w:divsChild>
            <w:div w:id="406075847">
              <w:marLeft w:val="0"/>
              <w:marRight w:val="0"/>
              <w:marTop w:val="0"/>
              <w:marBottom w:val="0"/>
              <w:divBdr>
                <w:top w:val="none" w:sz="0" w:space="0" w:color="auto"/>
                <w:left w:val="none" w:sz="0" w:space="0" w:color="auto"/>
                <w:bottom w:val="none" w:sz="0" w:space="0" w:color="auto"/>
                <w:right w:val="none" w:sz="0" w:space="0" w:color="auto"/>
              </w:divBdr>
            </w:div>
          </w:divsChild>
        </w:div>
        <w:div w:id="1955167017">
          <w:marLeft w:val="0"/>
          <w:marRight w:val="0"/>
          <w:marTop w:val="0"/>
          <w:marBottom w:val="0"/>
          <w:divBdr>
            <w:top w:val="none" w:sz="0" w:space="0" w:color="auto"/>
            <w:left w:val="none" w:sz="0" w:space="0" w:color="auto"/>
            <w:bottom w:val="none" w:sz="0" w:space="0" w:color="auto"/>
            <w:right w:val="none" w:sz="0" w:space="0" w:color="auto"/>
          </w:divBdr>
          <w:divsChild>
            <w:div w:id="1438795133">
              <w:marLeft w:val="0"/>
              <w:marRight w:val="0"/>
              <w:marTop w:val="0"/>
              <w:marBottom w:val="0"/>
              <w:divBdr>
                <w:top w:val="none" w:sz="0" w:space="0" w:color="auto"/>
                <w:left w:val="none" w:sz="0" w:space="0" w:color="auto"/>
                <w:bottom w:val="none" w:sz="0" w:space="0" w:color="auto"/>
                <w:right w:val="none" w:sz="0" w:space="0" w:color="auto"/>
              </w:divBdr>
            </w:div>
            <w:div w:id="1970554193">
              <w:marLeft w:val="0"/>
              <w:marRight w:val="0"/>
              <w:marTop w:val="0"/>
              <w:marBottom w:val="0"/>
              <w:divBdr>
                <w:top w:val="none" w:sz="0" w:space="0" w:color="auto"/>
                <w:left w:val="none" w:sz="0" w:space="0" w:color="auto"/>
                <w:bottom w:val="none" w:sz="0" w:space="0" w:color="auto"/>
                <w:right w:val="none" w:sz="0" w:space="0" w:color="auto"/>
              </w:divBdr>
            </w:div>
            <w:div w:id="11066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cc.ligo.org/LIGO-T070247" TargetMode="External"/><Relationship Id="rId20" Type="http://schemas.openxmlformats.org/officeDocument/2006/relationships/hyperlink" Target="https://dcc.ligo.org/LIGO-E1300201" TargetMode="External"/><Relationship Id="rId21" Type="http://schemas.openxmlformats.org/officeDocument/2006/relationships/hyperlink" Target="https://dcc.ligo.org/LIGO-E1300522" TargetMode="External"/><Relationship Id="rId22" Type="http://schemas.openxmlformats.org/officeDocument/2006/relationships/hyperlink" Target="https://dcc.ligo.org/LIGO-E1300523" TargetMode="External"/><Relationship Id="rId23" Type="http://schemas.openxmlformats.org/officeDocument/2006/relationships/hyperlink" Target="https://dcc.ligo.org/LIGO-E1500007" TargetMode="External"/><Relationship Id="rId24" Type="http://schemas.openxmlformats.org/officeDocument/2006/relationships/hyperlink" Target="https://dcc.ligo.org/E1500161" TargetMode="External"/><Relationship Id="rId25" Type="http://schemas.openxmlformats.org/officeDocument/2006/relationships/hyperlink" Target="https://dcc.ligo.org/E1500161" TargetMode="External"/><Relationship Id="rId26" Type="http://schemas.openxmlformats.org/officeDocument/2006/relationships/hyperlink" Target="https://dcc.ligo.org/LIGO-E1300152"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dcc.ligo.org/LIGO-E1200200" TargetMode="External"/><Relationship Id="rId11" Type="http://schemas.openxmlformats.org/officeDocument/2006/relationships/hyperlink" Target="https://dcc.ligo.org/LIGO-T1000276" TargetMode="External"/><Relationship Id="rId12" Type="http://schemas.openxmlformats.org/officeDocument/2006/relationships/hyperlink" Target="https://dcc.ligo.org/LIGO-T1000334" TargetMode="External"/><Relationship Id="rId13" Type="http://schemas.openxmlformats.org/officeDocument/2006/relationships/hyperlink" Target="https://dcc.ligo.org/LIGO-E1200200" TargetMode="External"/><Relationship Id="rId14" Type="http://schemas.openxmlformats.org/officeDocument/2006/relationships/hyperlink" Target="https://dcc.ligo.org/LIGO-C1107192" TargetMode="External"/><Relationship Id="rId15" Type="http://schemas.openxmlformats.org/officeDocument/2006/relationships/hyperlink" Target="https://dcc.ligo.org/E1500161" TargetMode="External"/><Relationship Id="rId16" Type="http://schemas.openxmlformats.org/officeDocument/2006/relationships/hyperlink" Target="https://ics-redux.ligo-la.caltech.edu/JIRA/browse/ASSY-D1201439-1" TargetMode="External"/><Relationship Id="rId17" Type="http://schemas.openxmlformats.org/officeDocument/2006/relationships/hyperlink" Target="https://ics-redux.ligo-la.caltech.edu/JIRA/browse/ASSY-D1201439-002" TargetMode="External"/><Relationship Id="rId18" Type="http://schemas.openxmlformats.org/officeDocument/2006/relationships/hyperlink" Target="https://ics-redux.ligo-la.caltech.edu/JIRA/browse/ASSY-D1201439-3_2" TargetMode="External"/><Relationship Id="rId19" Type="http://schemas.openxmlformats.org/officeDocument/2006/relationships/hyperlink" Target="https://dcc.ligo.org/LIGO-E130020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LIGO-T10002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835</Words>
  <Characters>4763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Peter Fritschel User</cp:lastModifiedBy>
  <cp:revision>2</cp:revision>
  <cp:lastPrinted>2000-07-19T02:21:00Z</cp:lastPrinted>
  <dcterms:created xsi:type="dcterms:W3CDTF">2015-03-13T13:42:00Z</dcterms:created>
  <dcterms:modified xsi:type="dcterms:W3CDTF">2015-03-13T13:42:00Z</dcterms:modified>
</cp:coreProperties>
</file>