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4770"/>
      </w:tblGrid>
      <w:tr w:rsidR="00524944" w:rsidRPr="00524944" w:rsidTr="00155BAE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bottom w:val="single" w:sz="18" w:space="0" w:color="auto"/>
            </w:tcBorders>
          </w:tcPr>
          <w:p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 w:rsidRPr="00524944"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:rsidTr="00155BAE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524944" w:rsidRPr="00524944" w:rsidRDefault="00162FB0" w:rsidP="00162FB0">
            <w:pPr>
              <w:pStyle w:val="StyleFooterArialNarrowLatinBold"/>
              <w:tabs>
                <w:tab w:val="clear" w:pos="4320"/>
                <w:tab w:val="clear" w:pos="8640"/>
                <w:tab w:val="left" w:pos="2268"/>
              </w:tabs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D. Coyne, B. Taylor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472831" w:rsidRDefault="00162FB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28 Jan 2015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472831" w:rsidRDefault="00155BA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see LIGO DCC record </w:t>
            </w:r>
            <w:r w:rsidR="006F6727">
              <w:rPr>
                <w:rStyle w:val="StyleArialNarrowLatinBold"/>
                <w:b w:val="0"/>
              </w:rPr>
              <w:t>Status</w:t>
            </w:r>
          </w:p>
        </w:tc>
      </w:tr>
    </w:tbl>
    <w:p w:rsidR="00695E34" w:rsidRDefault="00162FB0" w:rsidP="00162FB0">
      <w:pPr>
        <w:pStyle w:val="Heading1"/>
      </w:pPr>
      <w:r>
        <w:t>Purpose</w:t>
      </w:r>
      <w:bookmarkStart w:id="0" w:name="_GoBack"/>
      <w:bookmarkEnd w:id="0"/>
    </w:p>
    <w:p w:rsidR="00162FB0" w:rsidRDefault="00162FB0" w:rsidP="00162FB0">
      <w:pPr>
        <w:pStyle w:val="BodyText"/>
      </w:pPr>
      <w:r>
        <w:t>This is a procedure to test the vacuum leak rate of small sealed units such as accelerometers. It is written as a combined helium leak test of the seal as well as a qualification of hydrocarbon cleanliness.</w:t>
      </w:r>
    </w:p>
    <w:p w:rsidR="00162FB0" w:rsidRDefault="00162FB0" w:rsidP="00162FB0">
      <w:pPr>
        <w:pStyle w:val="Heading1"/>
      </w:pPr>
      <w:r>
        <w:t>Equipment Required</w:t>
      </w:r>
    </w:p>
    <w:p w:rsidR="00162FB0" w:rsidRDefault="00162FB0" w:rsidP="00162FB0">
      <w:pPr>
        <w:pStyle w:val="BodyText"/>
      </w:pPr>
      <w:r>
        <w:t xml:space="preserve">(1) </w:t>
      </w:r>
      <w:proofErr w:type="gramStart"/>
      <w:r>
        <w:t>high</w:t>
      </w:r>
      <w:proofErr w:type="gramEnd"/>
      <w:r>
        <w:t xml:space="preserve"> pressure chamber for exposing the parts to helium, </w:t>
      </w:r>
      <w:r w:rsidR="00810CCF">
        <w:br/>
      </w:r>
      <w:r>
        <w:t xml:space="preserve">such as </w:t>
      </w:r>
      <w:r w:rsidR="00A36421">
        <w:t>LACO Technologies model LBC083-60</w:t>
      </w:r>
    </w:p>
    <w:p w:rsidR="00162FB0" w:rsidRDefault="00162FB0" w:rsidP="00162FB0">
      <w:pPr>
        <w:pStyle w:val="BodyText"/>
      </w:pPr>
      <w:r>
        <w:t xml:space="preserve">(1) </w:t>
      </w:r>
      <w:proofErr w:type="gramStart"/>
      <w:r>
        <w:t>high</w:t>
      </w:r>
      <w:proofErr w:type="gramEnd"/>
      <w:r>
        <w:t xml:space="preserve"> purity, high pressure helium cylinder.</w:t>
      </w:r>
    </w:p>
    <w:p w:rsidR="00162FB0" w:rsidRDefault="00162FB0" w:rsidP="00162FB0">
      <w:pPr>
        <w:pStyle w:val="BodyText"/>
      </w:pPr>
      <w:r>
        <w:t xml:space="preserve">(1) </w:t>
      </w:r>
      <w:r w:rsidR="00A36421">
        <w:t xml:space="preserve">LIGO Lab </w:t>
      </w:r>
      <w:r w:rsidR="00810CCF">
        <w:t>V</w:t>
      </w:r>
      <w:r>
        <w:t xml:space="preserve">acuum </w:t>
      </w:r>
      <w:r w:rsidR="00810CCF">
        <w:t>Oven</w:t>
      </w:r>
      <w:r>
        <w:t xml:space="preserve"> with a Residual Gas Assay (RGA) for helium leak</w:t>
      </w:r>
      <w:r w:rsidR="00810CCF">
        <w:t xml:space="preserve"> and hydrocarbon outgassing </w:t>
      </w:r>
      <w:r>
        <w:t xml:space="preserve">measurement </w:t>
      </w:r>
    </w:p>
    <w:p w:rsidR="00162FB0" w:rsidRDefault="00162FB0" w:rsidP="00162FB0">
      <w:pPr>
        <w:pStyle w:val="Heading1"/>
      </w:pPr>
      <w:r>
        <w:t>Procedure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>C</w:t>
      </w:r>
      <w:r>
        <w:t>hemically c</w:t>
      </w:r>
      <w:r>
        <w:t xml:space="preserve">lean </w:t>
      </w:r>
      <w:r>
        <w:t xml:space="preserve">helium </w:t>
      </w:r>
      <w:r w:rsidR="00F44314">
        <w:t xml:space="preserve">(He) </w:t>
      </w:r>
      <w:r>
        <w:t xml:space="preserve">test </w:t>
      </w:r>
      <w:r w:rsidR="00A36421">
        <w:t>chamber</w:t>
      </w:r>
      <w:r>
        <w:t xml:space="preserve"> </w:t>
      </w:r>
      <w:r w:rsidR="00A36421">
        <w:t xml:space="preserve">(as though cleaning to </w:t>
      </w:r>
      <w:r>
        <w:t xml:space="preserve">Class B </w:t>
      </w:r>
      <w:r w:rsidR="00A36421">
        <w:t xml:space="preserve">per E960022, but do not bake </w:t>
      </w:r>
      <w:proofErr w:type="spellStart"/>
      <w:r w:rsidR="00A36421">
        <w:t>the</w:t>
      </w:r>
      <w:proofErr w:type="spellEnd"/>
      <w:r w:rsidR="00A36421">
        <w:t xml:space="preserve"> chamber)</w:t>
      </w:r>
      <w:r>
        <w:t>.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 xml:space="preserve">Place </w:t>
      </w:r>
      <w:r w:rsidR="00A36421">
        <w:t>test unit(s)</w:t>
      </w:r>
      <w:r>
        <w:t xml:space="preserve"> </w:t>
      </w:r>
      <w:r w:rsidR="00A36421">
        <w:t>into the canister and seal the li</w:t>
      </w:r>
      <w:r>
        <w:t>d.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 xml:space="preserve">Evacuate the chamber to </w:t>
      </w:r>
      <w:r w:rsidR="00A36421">
        <w:t>&lt; 29</w:t>
      </w:r>
      <w:r>
        <w:t xml:space="preserve"> in Hg.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 xml:space="preserve">Slowly fill the test </w:t>
      </w:r>
      <w:r w:rsidR="00A36421">
        <w:t>chamber</w:t>
      </w:r>
      <w:r>
        <w:t xml:space="preserve"> with hi</w:t>
      </w:r>
      <w:r w:rsidR="00A36421">
        <w:t>gh</w:t>
      </w:r>
      <w:r>
        <w:t xml:space="preserve"> purity </w:t>
      </w:r>
      <w:proofErr w:type="gramStart"/>
      <w:r w:rsidR="00F44314">
        <w:t>He</w:t>
      </w:r>
      <w:proofErr w:type="gramEnd"/>
      <w:r w:rsidR="00A36421">
        <w:t xml:space="preserve"> gas</w:t>
      </w:r>
      <w:r>
        <w:t xml:space="preserve"> to 60 psi.</w:t>
      </w:r>
      <w:r w:rsidR="00A36421">
        <w:t xml:space="preserve"> </w:t>
      </w:r>
      <w:r w:rsidR="00A36421">
        <w:br/>
        <w:t>Take care not to exceed 60 psi for model LBC083-60!</w:t>
      </w:r>
    </w:p>
    <w:p w:rsidR="00A36421" w:rsidRDefault="00A36421" w:rsidP="00162FB0">
      <w:pPr>
        <w:pStyle w:val="BodyText"/>
        <w:numPr>
          <w:ilvl w:val="0"/>
          <w:numId w:val="36"/>
        </w:numPr>
      </w:pPr>
      <w:r>
        <w:t xml:space="preserve">Keep the </w:t>
      </w:r>
      <w:r w:rsidR="00F44314">
        <w:t>He</w:t>
      </w:r>
      <w:r>
        <w:t xml:space="preserve"> pressure at close to 60 psi (&gt; 55 psi) for 2 hours.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 xml:space="preserve">Disconnect the </w:t>
      </w:r>
      <w:r w:rsidR="00F44314">
        <w:t>He</w:t>
      </w:r>
      <w:r>
        <w:t xml:space="preserve"> line from </w:t>
      </w:r>
      <w:r w:rsidR="00A36421">
        <w:t>chamber</w:t>
      </w:r>
      <w:r>
        <w:t>.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 xml:space="preserve">Slowly depressurize the test </w:t>
      </w:r>
      <w:r w:rsidR="00A36421">
        <w:t>chamber</w:t>
      </w:r>
      <w:r>
        <w:t xml:space="preserve"> to </w:t>
      </w:r>
      <w:r w:rsidR="00A36421">
        <w:t>0 psig (to atmospheric pressure)</w:t>
      </w:r>
      <w:r>
        <w:t>.</w:t>
      </w:r>
    </w:p>
    <w:p w:rsidR="00A36421" w:rsidRDefault="00162FB0" w:rsidP="00162FB0">
      <w:pPr>
        <w:pStyle w:val="BodyText"/>
        <w:numPr>
          <w:ilvl w:val="0"/>
          <w:numId w:val="36"/>
        </w:numPr>
      </w:pPr>
      <w:r>
        <w:t xml:space="preserve">Remove the test </w:t>
      </w:r>
      <w:r w:rsidR="00A36421">
        <w:t>unit(s)</w:t>
      </w:r>
      <w:r>
        <w:t xml:space="preserve"> </w:t>
      </w:r>
      <w:r w:rsidR="00A36421">
        <w:t>and chemically clean them (to Class A per E960022)</w:t>
      </w:r>
    </w:p>
    <w:p w:rsidR="00162FB0" w:rsidRDefault="00A36421" w:rsidP="00162FB0">
      <w:pPr>
        <w:pStyle w:val="BodyText"/>
        <w:numPr>
          <w:ilvl w:val="0"/>
          <w:numId w:val="36"/>
        </w:numPr>
      </w:pPr>
      <w:r>
        <w:t>P</w:t>
      </w:r>
      <w:r w:rsidR="00162FB0">
        <w:t xml:space="preserve">lace </w:t>
      </w:r>
      <w:r>
        <w:t>the test unit(s) into a Vacuum Oven and p</w:t>
      </w:r>
      <w:r w:rsidR="00162FB0">
        <w:t>ump down.</w:t>
      </w:r>
    </w:p>
    <w:p w:rsidR="00F44314" w:rsidRDefault="00F44314" w:rsidP="00162FB0">
      <w:pPr>
        <w:pStyle w:val="BodyText"/>
        <w:numPr>
          <w:ilvl w:val="0"/>
          <w:numId w:val="36"/>
        </w:numPr>
      </w:pPr>
      <w:r>
        <w:t>Open the argon (</w:t>
      </w:r>
      <w:proofErr w:type="spellStart"/>
      <w:r>
        <w:t>Ar</w:t>
      </w:r>
      <w:proofErr w:type="spellEnd"/>
      <w:r>
        <w:t>) calibrated leak.</w:t>
      </w:r>
    </w:p>
    <w:p w:rsidR="00162FB0" w:rsidRDefault="00162FB0" w:rsidP="00162FB0">
      <w:pPr>
        <w:pStyle w:val="BodyText"/>
        <w:numPr>
          <w:ilvl w:val="0"/>
          <w:numId w:val="36"/>
        </w:numPr>
      </w:pPr>
      <w:r>
        <w:t>Set the RGA to meas</w:t>
      </w:r>
      <w:r w:rsidR="00810CCF">
        <w:t xml:space="preserve">ure pressure versus time for </w:t>
      </w:r>
      <w:proofErr w:type="gramStart"/>
      <w:r w:rsidR="00810CCF">
        <w:t>He</w:t>
      </w:r>
      <w:proofErr w:type="gramEnd"/>
      <w:r w:rsidR="00810CCF">
        <w:t xml:space="preserve">, open the valve to the RGA head, close the valves to all pumps. Run and record this accumulation test for </w:t>
      </w:r>
      <w:r w:rsidR="00F44314">
        <w:t>10</w:t>
      </w:r>
      <w:r w:rsidR="00810CCF">
        <w:t xml:space="preserve"> minutes.</w:t>
      </w:r>
    </w:p>
    <w:p w:rsidR="00162FB0" w:rsidRDefault="00810CCF" w:rsidP="00162FB0">
      <w:pPr>
        <w:pStyle w:val="BodyText"/>
        <w:numPr>
          <w:ilvl w:val="0"/>
          <w:numId w:val="36"/>
        </w:numPr>
      </w:pPr>
      <w:r>
        <w:t>Configure the Vacuum Oven for baking (</w:t>
      </w:r>
      <w:r w:rsidR="00F44314">
        <w:t xml:space="preserve">close the </w:t>
      </w:r>
      <w:proofErr w:type="spellStart"/>
      <w:r w:rsidR="00F44314">
        <w:t>Ar</w:t>
      </w:r>
      <w:proofErr w:type="spellEnd"/>
      <w:r w:rsidR="00F44314">
        <w:t xml:space="preserve"> calibrated leak, </w:t>
      </w:r>
      <w:r>
        <w:t xml:space="preserve">open the valve to the large pump, close the valve to the RGA head) and proceed with a normal vacuum bake per E960022. When the bake has been completed, measure the residual hydrocarbon outgassing rate. </w:t>
      </w:r>
    </w:p>
    <w:p w:rsidR="00A36421" w:rsidRDefault="00810CCF" w:rsidP="00A36421">
      <w:pPr>
        <w:pStyle w:val="Heading1"/>
      </w:pPr>
      <w:r>
        <w:lastRenderedPageBreak/>
        <w:t>References</w:t>
      </w:r>
    </w:p>
    <w:p w:rsidR="00810CCF" w:rsidRDefault="00810CCF" w:rsidP="00810CCF">
      <w:pPr>
        <w:pStyle w:val="BodyText"/>
      </w:pPr>
      <w:hyperlink r:id="rId7" w:history="1">
        <w:r w:rsidRPr="00810CCF">
          <w:rPr>
            <w:rStyle w:val="Hyperlink"/>
            <w:bdr w:val="none" w:sz="0" w:space="0" w:color="auto"/>
          </w:rPr>
          <w:t>E960022</w:t>
        </w:r>
      </w:hyperlink>
      <w:r>
        <w:t xml:space="preserve">, </w:t>
      </w:r>
      <w:r w:rsidRPr="00810CCF">
        <w:t>LIGO Clean and Bake Methods and Procedures</w:t>
      </w:r>
    </w:p>
    <w:p w:rsidR="00810CCF" w:rsidRDefault="00810CCF" w:rsidP="00810CCF">
      <w:pPr>
        <w:pStyle w:val="BodyText"/>
      </w:pPr>
      <w:hyperlink r:id="rId8" w:history="1">
        <w:r w:rsidRPr="00810CCF">
          <w:rPr>
            <w:rStyle w:val="Hyperlink"/>
            <w:bdr w:val="none" w:sz="0" w:space="0" w:color="auto"/>
          </w:rPr>
          <w:t>E080177</w:t>
        </w:r>
      </w:hyperlink>
      <w:r>
        <w:t>, RGA Test Qualification</w:t>
      </w:r>
    </w:p>
    <w:p w:rsidR="00F44314" w:rsidRDefault="00F44314" w:rsidP="00810CCF">
      <w:pPr>
        <w:pStyle w:val="BodyText"/>
      </w:pPr>
      <w:hyperlink r:id="rId9" w:history="1">
        <w:r w:rsidRPr="00F44314">
          <w:rPr>
            <w:rStyle w:val="Hyperlink"/>
            <w:bdr w:val="none" w:sz="0" w:space="0" w:color="auto"/>
          </w:rPr>
          <w:t>T1400610</w:t>
        </w:r>
      </w:hyperlink>
      <w:r>
        <w:t xml:space="preserve">, </w:t>
      </w:r>
      <w:proofErr w:type="gramStart"/>
      <w:r w:rsidRPr="00F44314">
        <w:t>He</w:t>
      </w:r>
      <w:proofErr w:type="gramEnd"/>
      <w:r w:rsidRPr="00F44314">
        <w:t xml:space="preserve"> Accumulation Test</w:t>
      </w:r>
    </w:p>
    <w:p w:rsidR="00810CCF" w:rsidRPr="00810CCF" w:rsidRDefault="00F44314" w:rsidP="00810CCF">
      <w:pPr>
        <w:pStyle w:val="BodyText"/>
      </w:pPr>
      <w:hyperlink r:id="rId10" w:history="1">
        <w:r w:rsidR="00810CCF" w:rsidRPr="00F44314">
          <w:rPr>
            <w:rStyle w:val="Hyperlink"/>
            <w:bdr w:val="none" w:sz="0" w:space="0" w:color="auto"/>
          </w:rPr>
          <w:t>MIL</w:t>
        </w:r>
        <w:r w:rsidRPr="00F44314">
          <w:rPr>
            <w:rStyle w:val="Hyperlink"/>
            <w:bdr w:val="none" w:sz="0" w:space="0" w:color="auto"/>
          </w:rPr>
          <w:t>-STD-883, method 1014.14</w:t>
        </w:r>
      </w:hyperlink>
    </w:p>
    <w:sectPr w:rsidR="00810CCF" w:rsidRPr="00810CCF" w:rsidSect="0067184F">
      <w:headerReference w:type="default" r:id="rId11"/>
      <w:footerReference w:type="default" r:id="rId12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B9" w:rsidRDefault="007B1CB9">
      <w:r>
        <w:separator/>
      </w:r>
    </w:p>
  </w:endnote>
  <w:endnote w:type="continuationSeparator" w:id="0">
    <w:p w:rsidR="007B1CB9" w:rsidRDefault="007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B9" w:rsidRDefault="007B1CB9">
      <w:r>
        <w:separator/>
      </w:r>
    </w:p>
  </w:footnote>
  <w:footnote w:type="continuationSeparator" w:id="0">
    <w:p w:rsidR="007B1CB9" w:rsidRDefault="007B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blPrEx>
        <w:tblCellMar>
          <w:top w:w="0" w:type="dxa"/>
          <w:bottom w:w="0" w:type="dxa"/>
        </w:tblCellMar>
      </w:tblPrEx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1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3962929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Pr="00162FB0" w:rsidRDefault="00AE79A3" w:rsidP="00162FB0">
          <w:pPr>
            <w:pStyle w:val="Header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>SPECIFICATION</w:t>
          </w:r>
          <w:r w:rsidR="00162FB0">
            <w:rPr>
              <w:b/>
              <w:caps/>
              <w:sz w:val="32"/>
            </w:rPr>
            <w:t>: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F4431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E1500028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blPrEx>
        <w:tblCellMar>
          <w:top w:w="0" w:type="dxa"/>
          <w:bottom w:w="0" w:type="dxa"/>
        </w:tblCellMar>
      </w:tblPrEx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blPrEx>
        <w:tblCellMar>
          <w:top w:w="0" w:type="dxa"/>
          <w:bottom w:w="0" w:type="dxa"/>
        </w:tblCellMar>
      </w:tblPrEx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E504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E504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AE79A3" w:rsidTr="00DF7DEE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E79A3" w:rsidRDefault="00162FB0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Helium Bomb Testing Procedure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634EE8"/>
    <w:multiLevelType w:val="hybridMultilevel"/>
    <w:tmpl w:val="77D8F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4"/>
  </w:num>
  <w:num w:numId="28">
    <w:abstractNumId w:val="7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042"/>
    <w:rsid w:val="000014DA"/>
    <w:rsid w:val="000450B9"/>
    <w:rsid w:val="000548E4"/>
    <w:rsid w:val="000556E6"/>
    <w:rsid w:val="00064DED"/>
    <w:rsid w:val="0007268A"/>
    <w:rsid w:val="00077AF8"/>
    <w:rsid w:val="00081841"/>
    <w:rsid w:val="000A0B4A"/>
    <w:rsid w:val="000B6873"/>
    <w:rsid w:val="000B72E7"/>
    <w:rsid w:val="000B7654"/>
    <w:rsid w:val="000D5DEB"/>
    <w:rsid w:val="000F6442"/>
    <w:rsid w:val="000F6CF9"/>
    <w:rsid w:val="0014642B"/>
    <w:rsid w:val="00155BAE"/>
    <w:rsid w:val="00162FB0"/>
    <w:rsid w:val="00166042"/>
    <w:rsid w:val="001A22C6"/>
    <w:rsid w:val="001A43AF"/>
    <w:rsid w:val="001B28BF"/>
    <w:rsid w:val="001B6BB2"/>
    <w:rsid w:val="001D7449"/>
    <w:rsid w:val="001E53F0"/>
    <w:rsid w:val="001F2686"/>
    <w:rsid w:val="00207EAE"/>
    <w:rsid w:val="00217511"/>
    <w:rsid w:val="00235D2E"/>
    <w:rsid w:val="00245383"/>
    <w:rsid w:val="00250E58"/>
    <w:rsid w:val="00262881"/>
    <w:rsid w:val="00263750"/>
    <w:rsid w:val="0029696F"/>
    <w:rsid w:val="002D5015"/>
    <w:rsid w:val="002E20FA"/>
    <w:rsid w:val="002F529F"/>
    <w:rsid w:val="002F5D43"/>
    <w:rsid w:val="00310D2E"/>
    <w:rsid w:val="003123EC"/>
    <w:rsid w:val="00314048"/>
    <w:rsid w:val="00340D46"/>
    <w:rsid w:val="0035367D"/>
    <w:rsid w:val="00362DDF"/>
    <w:rsid w:val="003827B2"/>
    <w:rsid w:val="00393F8A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5129C5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D07FD"/>
    <w:rsid w:val="005D248C"/>
    <w:rsid w:val="005D3472"/>
    <w:rsid w:val="005E253D"/>
    <w:rsid w:val="005E2FF4"/>
    <w:rsid w:val="005F065F"/>
    <w:rsid w:val="00602701"/>
    <w:rsid w:val="00605798"/>
    <w:rsid w:val="006128E7"/>
    <w:rsid w:val="0061632B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30EA1"/>
    <w:rsid w:val="007337C7"/>
    <w:rsid w:val="00744738"/>
    <w:rsid w:val="007514C1"/>
    <w:rsid w:val="00754EE0"/>
    <w:rsid w:val="00757B0A"/>
    <w:rsid w:val="00773CA9"/>
    <w:rsid w:val="007816E1"/>
    <w:rsid w:val="00782491"/>
    <w:rsid w:val="0078448B"/>
    <w:rsid w:val="007876E7"/>
    <w:rsid w:val="007978FA"/>
    <w:rsid w:val="007A18E3"/>
    <w:rsid w:val="007B1CB9"/>
    <w:rsid w:val="007B4DFA"/>
    <w:rsid w:val="007C03AB"/>
    <w:rsid w:val="007C3E1A"/>
    <w:rsid w:val="007C4C60"/>
    <w:rsid w:val="007C724C"/>
    <w:rsid w:val="007D3F59"/>
    <w:rsid w:val="007F6339"/>
    <w:rsid w:val="0080370A"/>
    <w:rsid w:val="00805CB4"/>
    <w:rsid w:val="008063CF"/>
    <w:rsid w:val="00810CCF"/>
    <w:rsid w:val="008110A3"/>
    <w:rsid w:val="00812F39"/>
    <w:rsid w:val="00821527"/>
    <w:rsid w:val="00857D17"/>
    <w:rsid w:val="0086113F"/>
    <w:rsid w:val="00861524"/>
    <w:rsid w:val="0088196E"/>
    <w:rsid w:val="00887C52"/>
    <w:rsid w:val="008A4983"/>
    <w:rsid w:val="008D60F3"/>
    <w:rsid w:val="008E5045"/>
    <w:rsid w:val="008E7B83"/>
    <w:rsid w:val="00903912"/>
    <w:rsid w:val="009042F4"/>
    <w:rsid w:val="0092072C"/>
    <w:rsid w:val="00922781"/>
    <w:rsid w:val="00931558"/>
    <w:rsid w:val="00934218"/>
    <w:rsid w:val="00935C8D"/>
    <w:rsid w:val="009518A8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36421"/>
    <w:rsid w:val="00A4245D"/>
    <w:rsid w:val="00A446DC"/>
    <w:rsid w:val="00A45C58"/>
    <w:rsid w:val="00A65D21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30165"/>
    <w:rsid w:val="00B30BB1"/>
    <w:rsid w:val="00B32DC0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C0B55"/>
    <w:rsid w:val="00BC553F"/>
    <w:rsid w:val="00BD228C"/>
    <w:rsid w:val="00BE01F8"/>
    <w:rsid w:val="00BE1988"/>
    <w:rsid w:val="00BF3247"/>
    <w:rsid w:val="00C05869"/>
    <w:rsid w:val="00C06ED2"/>
    <w:rsid w:val="00C41B39"/>
    <w:rsid w:val="00C62589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39FB"/>
    <w:rsid w:val="00D64BFE"/>
    <w:rsid w:val="00D72459"/>
    <w:rsid w:val="00D73577"/>
    <w:rsid w:val="00D85692"/>
    <w:rsid w:val="00DB641E"/>
    <w:rsid w:val="00DC47CA"/>
    <w:rsid w:val="00DE2BD1"/>
    <w:rsid w:val="00DE60F2"/>
    <w:rsid w:val="00DF75F8"/>
    <w:rsid w:val="00DF7DEE"/>
    <w:rsid w:val="00E216DC"/>
    <w:rsid w:val="00E2229D"/>
    <w:rsid w:val="00E27B7F"/>
    <w:rsid w:val="00E64535"/>
    <w:rsid w:val="00E70211"/>
    <w:rsid w:val="00E715FF"/>
    <w:rsid w:val="00E841EC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41312"/>
    <w:rsid w:val="00F419A3"/>
    <w:rsid w:val="00F41D4B"/>
    <w:rsid w:val="00F44314"/>
    <w:rsid w:val="00F60CA6"/>
    <w:rsid w:val="00F6263F"/>
    <w:rsid w:val="00F6705A"/>
    <w:rsid w:val="00F761C5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8F73B337-572D-4883-A4B2-578CE3D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E080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E9600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scc.dla.mil/Downloads/MilSpec/Docs/MIL-STD-883/std88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T14006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coyne</cp:lastModifiedBy>
  <cp:revision>3</cp:revision>
  <cp:lastPrinted>2015-01-28T23:09:00Z</cp:lastPrinted>
  <dcterms:created xsi:type="dcterms:W3CDTF">2015-01-28T23:08:00Z</dcterms:created>
  <dcterms:modified xsi:type="dcterms:W3CDTF">2015-01-28T23:09:00Z</dcterms:modified>
</cp:coreProperties>
</file>