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BC21" w14:textId="0B10BEDB" w:rsidR="003F15E9" w:rsidRPr="00FA0B84" w:rsidRDefault="006050E6" w:rsidP="00B9090B">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338E0E27" wp14:editId="49BDA286">
                <wp:simplePos x="0" y="0"/>
                <wp:positionH relativeFrom="column">
                  <wp:posOffset>1149985</wp:posOffset>
                </wp:positionH>
                <wp:positionV relativeFrom="paragraph">
                  <wp:posOffset>-457835</wp:posOffset>
                </wp:positionV>
                <wp:extent cx="2033905" cy="683260"/>
                <wp:effectExtent l="0" t="0" r="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D558" w14:textId="77777777" w:rsidR="00625FB5" w:rsidRPr="00625FB5" w:rsidRDefault="00625FB5" w:rsidP="00625FB5">
                            <w:pPr>
                              <w:pStyle w:val="Heading1"/>
                              <w:numPr>
                                <w:ilvl w:val="0"/>
                                <w:numId w:val="0"/>
                              </w:numPr>
                              <w:rPr>
                                <w:bCs/>
                                <w:sz w:val="16"/>
                                <w:szCs w:val="16"/>
                              </w:rPr>
                            </w:pPr>
                            <w:r w:rsidRPr="00625FB5">
                              <w:rPr>
                                <w:bCs/>
                                <w:sz w:val="16"/>
                                <w:szCs w:val="16"/>
                              </w:rPr>
                              <w:t>LIGO LABORATORY</w:t>
                            </w:r>
                          </w:p>
                          <w:p w14:paraId="36856B2F" w14:textId="77777777" w:rsidR="00625FB5" w:rsidRDefault="00625FB5" w:rsidP="00625FB5">
                            <w:pPr>
                              <w:rPr>
                                <w:sz w:val="16"/>
                                <w:szCs w:val="16"/>
                              </w:rPr>
                            </w:pPr>
                            <w:r w:rsidRPr="00A11B04">
                              <w:rPr>
                                <w:sz w:val="16"/>
                                <w:szCs w:val="16"/>
                              </w:rPr>
                              <w:t>California Institute of Technology</w:t>
                            </w:r>
                          </w:p>
                          <w:p w14:paraId="376DB83A" w14:textId="77777777" w:rsidR="00625FB5" w:rsidRPr="00A11B04" w:rsidRDefault="00625FB5"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14:paraId="07414DDC" w14:textId="77777777" w:rsidR="0086580F" w:rsidRDefault="00625FB5"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6F549AA8" w14:textId="77777777" w:rsidR="0086580F" w:rsidRPr="00A11B04" w:rsidRDefault="0086580F" w:rsidP="00625FB5">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0E27" id="_x0000_t202" coordsize="21600,21600" o:spt="202" path="m,l,21600r21600,l21600,xe">
                <v:stroke joinstyle="miter"/>
                <v:path gradientshapeok="t" o:connecttype="rect"/>
              </v:shapetype>
              <v:shape id="Text Box 5" o:spid="_x0000_s1026" type="#_x0000_t202" style="position:absolute;left:0;text-align:left;margin-left:90.55pt;margin-top:-36.05pt;width:160.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QhtwIAALk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" filled="f" stroked="f">
                <v:textbox>
                  <w:txbxContent>
                    <w:p w14:paraId="3180D558" w14:textId="77777777" w:rsidR="00625FB5" w:rsidRPr="00625FB5" w:rsidRDefault="00625FB5" w:rsidP="00625FB5">
                      <w:pPr>
                        <w:pStyle w:val="Heading1"/>
                        <w:numPr>
                          <w:ilvl w:val="0"/>
                          <w:numId w:val="0"/>
                        </w:numPr>
                        <w:rPr>
                          <w:bCs/>
                          <w:sz w:val="16"/>
                          <w:szCs w:val="16"/>
                        </w:rPr>
                      </w:pPr>
                      <w:r w:rsidRPr="00625FB5">
                        <w:rPr>
                          <w:bCs/>
                          <w:sz w:val="16"/>
                          <w:szCs w:val="16"/>
                        </w:rPr>
                        <w:t>LIGO LABORATORY</w:t>
                      </w:r>
                    </w:p>
                    <w:p w14:paraId="36856B2F" w14:textId="77777777" w:rsidR="00625FB5" w:rsidRDefault="00625FB5" w:rsidP="00625FB5">
                      <w:pPr>
                        <w:rPr>
                          <w:sz w:val="16"/>
                          <w:szCs w:val="16"/>
                        </w:rPr>
                      </w:pPr>
                      <w:r w:rsidRPr="00A11B04">
                        <w:rPr>
                          <w:sz w:val="16"/>
                          <w:szCs w:val="16"/>
                        </w:rPr>
                        <w:t>California Institute of Technology</w:t>
                      </w:r>
                    </w:p>
                    <w:p w14:paraId="376DB83A" w14:textId="77777777" w:rsidR="00625FB5" w:rsidRPr="00A11B04" w:rsidRDefault="00625FB5"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14:paraId="07414DDC" w14:textId="77777777" w:rsidR="0086580F" w:rsidRDefault="00625FB5"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6F549AA8" w14:textId="77777777" w:rsidR="0086580F" w:rsidRPr="00A11B04" w:rsidRDefault="0086580F" w:rsidP="00625FB5">
                      <w:pPr>
                        <w:rPr>
                          <w:sz w:val="14"/>
                          <w:szCs w:val="14"/>
                        </w:rPr>
                      </w:pPr>
                    </w:p>
                  </w:txbxContent>
                </v:textbox>
              </v:shape>
            </w:pict>
          </mc:Fallback>
        </mc:AlternateContent>
      </w:r>
      <w:r>
        <w:rPr>
          <w:b/>
          <w:noProof/>
          <w:sz w:val="28"/>
          <w:szCs w:val="28"/>
        </w:rPr>
        <w:drawing>
          <wp:anchor distT="0" distB="0" distL="114300" distR="114300" simplePos="0" relativeHeight="251657216" behindDoc="0" locked="0" layoutInCell="1" allowOverlap="1" wp14:anchorId="6BC1C5C2" wp14:editId="00AEA66C">
            <wp:simplePos x="0" y="0"/>
            <wp:positionH relativeFrom="column">
              <wp:posOffset>0</wp:posOffset>
            </wp:positionH>
            <wp:positionV relativeFrom="paragraph">
              <wp:posOffset>-552450</wp:posOffset>
            </wp:positionV>
            <wp:extent cx="1149985" cy="777875"/>
            <wp:effectExtent l="0" t="0" r="0" b="0"/>
            <wp:wrapNone/>
            <wp:docPr id="8"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p w14:paraId="213E2072" w14:textId="77777777"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14:paraId="676F82F6" w14:textId="77777777" w:rsidR="00F42BB8" w:rsidRPr="00612E9D"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14:paraId="3C00177F" w14:textId="360AFF46" w:rsidR="003A3F70" w:rsidRPr="00612E9D" w:rsidRDefault="00AA3497" w:rsidP="003A3F70">
      <w:pPr>
        <w:tabs>
          <w:tab w:val="center" w:pos="4680"/>
          <w:tab w:val="left" w:pos="6491"/>
        </w:tabs>
        <w:jc w:val="center"/>
        <w:rPr>
          <w:rFonts w:cs="Calibri"/>
          <w:b/>
          <w:sz w:val="28"/>
          <w:szCs w:val="28"/>
        </w:rPr>
      </w:pPr>
      <w:r>
        <w:rPr>
          <w:rFonts w:cs="Calibri"/>
          <w:b/>
          <w:sz w:val="28"/>
          <w:szCs w:val="28"/>
        </w:rPr>
        <w:t>C-</w:t>
      </w:r>
      <w:r w:rsidR="003D52F9">
        <w:rPr>
          <w:rFonts w:cs="Calibri"/>
          <w:b/>
          <w:sz w:val="28"/>
          <w:szCs w:val="28"/>
        </w:rPr>
        <w:t>1900390</w:t>
      </w:r>
      <w:r w:rsidR="003A3F70" w:rsidRPr="00612E9D">
        <w:rPr>
          <w:rFonts w:cs="Calibri"/>
          <w:b/>
          <w:sz w:val="28"/>
          <w:szCs w:val="28"/>
        </w:rPr>
        <w:t>-v</w:t>
      </w:r>
      <w:r w:rsidR="00E70A40">
        <w:rPr>
          <w:rFonts w:cs="Calibri"/>
          <w:b/>
          <w:sz w:val="28"/>
          <w:szCs w:val="28"/>
        </w:rPr>
        <w:t>2</w:t>
      </w:r>
    </w:p>
    <w:p w14:paraId="6A922DD7" w14:textId="77777777"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14:paraId="04F56E9F" w14:textId="77777777"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14:paraId="56A1713F" w14:textId="77777777" w:rsidR="00EA4DFF" w:rsidRPr="00612E9D" w:rsidRDefault="00EA4DFF" w:rsidP="001E5064">
      <w:pPr>
        <w:rPr>
          <w:rFonts w:cs="Calibri"/>
          <w:sz w:val="24"/>
          <w:szCs w:val="24"/>
        </w:rPr>
      </w:pPr>
    </w:p>
    <w:p w14:paraId="0A827387" w14:textId="55BB7CE6" w:rsidR="0086580F" w:rsidRPr="0059574F" w:rsidRDefault="0086580F" w:rsidP="009243C4">
      <w:pPr>
        <w:numPr>
          <w:ilvl w:val="0"/>
          <w:numId w:val="13"/>
        </w:numPr>
        <w:rPr>
          <w:rFonts w:cs="Calibri"/>
          <w:b/>
        </w:rPr>
      </w:pPr>
      <w:r w:rsidRPr="00612E9D">
        <w:rPr>
          <w:rFonts w:cs="Calibri"/>
          <w:b/>
          <w:sz w:val="28"/>
          <w:szCs w:val="28"/>
        </w:rPr>
        <w:t xml:space="preserve">Scope (LIGO </w:t>
      </w:r>
      <w:r w:rsidR="003D52F9">
        <w:rPr>
          <w:rFonts w:cs="Calibri"/>
          <w:b/>
          <w:sz w:val="28"/>
          <w:szCs w:val="28"/>
        </w:rPr>
        <w:t>Aplus Vacuum System</w:t>
      </w:r>
      <w:r w:rsidRPr="00612E9D">
        <w:rPr>
          <w:rFonts w:cs="Calibri"/>
          <w:b/>
          <w:sz w:val="28"/>
          <w:szCs w:val="28"/>
        </w:rPr>
        <w:t>)</w:t>
      </w:r>
    </w:p>
    <w:p w14:paraId="4EB9BAD2" w14:textId="0DA3A734" w:rsidR="00F5374D" w:rsidRDefault="00F5374D" w:rsidP="00F5374D">
      <w:pPr>
        <w:pStyle w:val="NoSpacing"/>
        <w:ind w:firstLine="360"/>
      </w:pPr>
      <w:r>
        <w:t xml:space="preserve">This Statement of Work (SOW) is for </w:t>
      </w:r>
      <w:r w:rsidR="00CC48B0">
        <w:t xml:space="preserve">the </w:t>
      </w:r>
      <w:r>
        <w:t>manufacture and procurement of conflat flanges (CF) and associated electrical vacuum feedthroughs as required for</w:t>
      </w:r>
      <w:r w:rsidR="00160EA5">
        <w:t xml:space="preserve"> use in the Ultra-high Vacuum System (UHV)</w:t>
      </w:r>
      <w:r w:rsidR="002F6FD6">
        <w:t xml:space="preserve"> related to</w:t>
      </w:r>
      <w:r>
        <w:t xml:space="preserve"> the LIGO A+ upgrade.  Various types of </w:t>
      </w:r>
      <w:r w:rsidR="0001480D">
        <w:t>UHV</w:t>
      </w:r>
      <w:r>
        <w:t xml:space="preserve"> feedthroughs will be needed as detailed in the following SOW.</w:t>
      </w:r>
    </w:p>
    <w:p w14:paraId="36C1355A" w14:textId="77777777"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14:paraId="2D287D76" w14:textId="77777777" w:rsidR="0086580F" w:rsidRPr="00612E9D" w:rsidRDefault="0086580F" w:rsidP="0086580F">
      <w:pPr>
        <w:ind w:left="435"/>
        <w:rPr>
          <w:rFonts w:cs="Calibri"/>
          <w:b/>
        </w:rPr>
      </w:pPr>
    </w:p>
    <w:p w14:paraId="0561E173" w14:textId="77777777"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14:paraId="1712BA7E" w14:textId="77777777"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2"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14:paraId="448932B7" w14:textId="77777777" w:rsidR="00692083" w:rsidRPr="00612E9D" w:rsidRDefault="00692083" w:rsidP="00692083">
      <w:pPr>
        <w:ind w:left="435"/>
        <w:rPr>
          <w:rFonts w:cs="Calibri"/>
          <w:sz w:val="24"/>
          <w:szCs w:val="24"/>
        </w:rPr>
      </w:pPr>
    </w:p>
    <w:p w14:paraId="5E6B6022" w14:textId="77777777" w:rsidR="00625FB5" w:rsidRPr="00612E9D" w:rsidRDefault="009F55EB" w:rsidP="006964BB">
      <w:pPr>
        <w:numPr>
          <w:ilvl w:val="0"/>
          <w:numId w:val="13"/>
        </w:numPr>
        <w:rPr>
          <w:rFonts w:cs="Calibri"/>
        </w:rPr>
      </w:pPr>
      <w:bookmarkStart w:id="0" w:name="_Ref29472600"/>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bookmarkEnd w:id="0"/>
      <w:r w:rsidRPr="00612E9D">
        <w:rPr>
          <w:rFonts w:cs="Calibri"/>
        </w:rPr>
        <w:t xml:space="preserve"> </w:t>
      </w:r>
    </w:p>
    <w:p w14:paraId="5853E765" w14:textId="77777777" w:rsidR="0001519E" w:rsidRDefault="0001519E" w:rsidP="00F42BB8">
      <w:pPr>
        <w:rPr>
          <w:rFonts w:cs="Calibri"/>
          <w:b/>
          <w:sz w:val="24"/>
          <w:szCs w:val="24"/>
        </w:rPr>
      </w:pPr>
    </w:p>
    <w:p w14:paraId="25E0EEE0" w14:textId="77777777"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14:paraId="4138D168" w14:textId="77777777" w:rsidR="00422322" w:rsidRPr="00612E9D" w:rsidRDefault="00422322" w:rsidP="00F42BB8">
      <w:pPr>
        <w:rPr>
          <w:rFonts w:cs="Calibri"/>
          <w:vanish/>
          <w:color w:val="FF0000"/>
        </w:rPr>
      </w:pPr>
    </w:p>
    <w:p w14:paraId="3BC647F1" w14:textId="77777777"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14:paraId="40C2B521" w14:textId="77777777"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14:paraId="08AB7EE5" w14:textId="6250A9BC" w:rsidR="009F55EB" w:rsidRPr="000F4395" w:rsidRDefault="00A42944" w:rsidP="000F4395">
      <w:pPr>
        <w:numPr>
          <w:ilvl w:val="0"/>
          <w:numId w:val="24"/>
        </w:numPr>
        <w:rPr>
          <w:rFonts w:cs="Calibri"/>
        </w:rPr>
      </w:pPr>
      <w:hyperlink r:id="rId13" w:tooltip="LIGO-C080185-v2" w:history="1">
        <w:r w:rsidR="007E350E">
          <w:rPr>
            <w:rStyle w:val="Hyperlink"/>
          </w:rPr>
          <w:t>LIGO-C080185-v2</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14:paraId="362FCABE" w14:textId="2C0AFB6F" w:rsidR="009F55EB" w:rsidRDefault="00A42944" w:rsidP="000F4395">
      <w:pPr>
        <w:numPr>
          <w:ilvl w:val="0"/>
          <w:numId w:val="24"/>
        </w:numPr>
        <w:rPr>
          <w:rFonts w:cs="Calibri"/>
        </w:rPr>
      </w:pPr>
      <w:hyperlink r:id="rId14"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14:paraId="6281B3A9" w14:textId="5A78AEA9" w:rsidR="00BF6B84" w:rsidRPr="00612E9D" w:rsidRDefault="00A42944" w:rsidP="000F4395">
      <w:pPr>
        <w:numPr>
          <w:ilvl w:val="0"/>
          <w:numId w:val="24"/>
        </w:numPr>
        <w:rPr>
          <w:rFonts w:cs="Calibri"/>
        </w:rPr>
      </w:pPr>
      <w:hyperlink r:id="rId15" w:tooltip="LIGO-Q1100003-v1" w:history="1">
        <w:r w:rsidR="00193DA0">
          <w:rPr>
            <w:rStyle w:val="Hyperlink"/>
          </w:rPr>
          <w:t>LIGO-Q1100003-v1</w:t>
        </w:r>
      </w:hyperlink>
      <w:r w:rsidR="00BF6B84">
        <w:rPr>
          <w:rFonts w:cs="Calibri"/>
        </w:rPr>
        <w:tab/>
      </w:r>
      <w:r w:rsidR="00BF6B84" w:rsidRPr="000163B8">
        <w:rPr>
          <w:rFonts w:cs="Calibri"/>
        </w:rPr>
        <w:t>Acceptable Quality Level (AQL) for Inspection of LIGO Components</w:t>
      </w:r>
    </w:p>
    <w:p w14:paraId="6294F846" w14:textId="624E40B7" w:rsidR="0051087A" w:rsidRPr="00425B8F" w:rsidRDefault="00A42944" w:rsidP="000F4395">
      <w:pPr>
        <w:numPr>
          <w:ilvl w:val="0"/>
          <w:numId w:val="24"/>
        </w:numPr>
        <w:rPr>
          <w:rFonts w:cs="Calibri"/>
        </w:rPr>
      </w:pPr>
      <w:hyperlink r:id="rId16" w:history="1">
        <w:r w:rsidR="00F604AA">
          <w:rPr>
            <w:rStyle w:val="Hyperlink"/>
            <w:rFonts w:cs="Calibri"/>
          </w:rPr>
          <w:t>LIGO-E2000003-v2</w:t>
        </w:r>
      </w:hyperlink>
      <w:r w:rsidR="00425B8F" w:rsidRPr="00425B8F">
        <w:rPr>
          <w:rFonts w:cs="Calibri"/>
        </w:rPr>
        <w:tab/>
      </w:r>
      <w:r w:rsidR="00CA3EDA">
        <w:rPr>
          <w:rFonts w:cs="Calibri"/>
        </w:rPr>
        <w:t xml:space="preserve">Aplus Vacuum Feedthrough </w:t>
      </w:r>
      <w:r w:rsidR="00425B8F" w:rsidRPr="00425B8F">
        <w:rPr>
          <w:rFonts w:cs="Calibri"/>
        </w:rPr>
        <w:t>Mechanical and Elec</w:t>
      </w:r>
      <w:r w:rsidR="00425B8F">
        <w:rPr>
          <w:rFonts w:cs="Calibri"/>
        </w:rPr>
        <w:t xml:space="preserve">trical </w:t>
      </w:r>
      <w:r w:rsidR="00196C1C">
        <w:rPr>
          <w:rFonts w:cs="Calibri"/>
        </w:rPr>
        <w:t>Performance Requirements</w:t>
      </w:r>
    </w:p>
    <w:p w14:paraId="516468AC" w14:textId="77777777" w:rsidR="009E551E" w:rsidRPr="00425B8F" w:rsidRDefault="009E551E" w:rsidP="00F42BB8">
      <w:pPr>
        <w:rPr>
          <w:rFonts w:cs="Calibri"/>
        </w:rPr>
      </w:pPr>
    </w:p>
    <w:p w14:paraId="14106C39" w14:textId="77777777"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14:paraId="55148319" w14:textId="77777777"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14:paraId="0EF63F5C" w14:textId="77777777" w:rsidR="0001519E" w:rsidRDefault="0001519E" w:rsidP="0001519E">
      <w:pPr>
        <w:rPr>
          <w:rFonts w:cs="Calibri"/>
          <w:b/>
          <w:sz w:val="28"/>
          <w:szCs w:val="28"/>
        </w:rPr>
      </w:pPr>
    </w:p>
    <w:p w14:paraId="17E967C5" w14:textId="77777777" w:rsidR="00AD3724" w:rsidRPr="006964BB" w:rsidRDefault="00AD3724" w:rsidP="009243C4">
      <w:pPr>
        <w:numPr>
          <w:ilvl w:val="0"/>
          <w:numId w:val="13"/>
        </w:numPr>
        <w:rPr>
          <w:rFonts w:cs="Calibri"/>
          <w:b/>
          <w:sz w:val="28"/>
          <w:szCs w:val="28"/>
        </w:rPr>
      </w:pPr>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p>
    <w:p w14:paraId="703E9EA5" w14:textId="2B661DD8" w:rsidR="00A22EB4"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r w:rsidR="00843ADC">
        <w:rPr>
          <w:rFonts w:cs="Calibri"/>
          <w:color w:val="000000"/>
          <w:sz w:val="24"/>
        </w:rPr>
        <w:t xml:space="preserve">.  Dimensional </w:t>
      </w:r>
      <w:r w:rsidR="0036095E">
        <w:rPr>
          <w:rFonts w:cs="Calibri"/>
          <w:color w:val="000000"/>
          <w:sz w:val="24"/>
        </w:rPr>
        <w:t xml:space="preserve">inspection frequency is specified in </w:t>
      </w:r>
      <w:r w:rsidR="009D62C9">
        <w:rPr>
          <w:rFonts w:cs="Calibri"/>
          <w:color w:val="000000"/>
          <w:sz w:val="24"/>
        </w:rPr>
        <w:fldChar w:fldCharType="begin"/>
      </w:r>
      <w:r w:rsidR="009D62C9">
        <w:rPr>
          <w:rFonts w:cs="Calibri"/>
          <w:color w:val="000000"/>
          <w:sz w:val="24"/>
        </w:rPr>
        <w:instrText xml:space="preserve"> REF _Ref29472479 \h </w:instrText>
      </w:r>
      <w:r w:rsidR="009D62C9">
        <w:rPr>
          <w:rFonts w:cs="Calibri"/>
          <w:color w:val="000000"/>
          <w:sz w:val="24"/>
        </w:rPr>
      </w:r>
      <w:r w:rsidR="009D62C9">
        <w:rPr>
          <w:rFonts w:cs="Calibri"/>
          <w:color w:val="000000"/>
          <w:sz w:val="24"/>
        </w:rPr>
        <w:fldChar w:fldCharType="separate"/>
      </w:r>
      <w:r w:rsidR="009D62C9">
        <w:t xml:space="preserve">Table </w:t>
      </w:r>
      <w:r w:rsidR="009D62C9">
        <w:rPr>
          <w:noProof/>
        </w:rPr>
        <w:t>2</w:t>
      </w:r>
      <w:r w:rsidR="009D62C9">
        <w:rPr>
          <w:rFonts w:cs="Calibri"/>
          <w:color w:val="000000"/>
          <w:sz w:val="24"/>
        </w:rPr>
        <w:fldChar w:fldCharType="end"/>
      </w:r>
      <w:r w:rsidR="00F76437">
        <w:rPr>
          <w:rFonts w:cs="Calibri"/>
          <w:color w:val="000000"/>
          <w:sz w:val="24"/>
        </w:rPr>
        <w:t xml:space="preserve">.  All other </w:t>
      </w:r>
      <w:r w:rsidR="00EA0106">
        <w:rPr>
          <w:rFonts w:cs="Calibri"/>
          <w:color w:val="000000"/>
          <w:sz w:val="24"/>
        </w:rPr>
        <w:t>inspections are detailed</w:t>
      </w:r>
      <w:r w:rsidR="006E00BA">
        <w:rPr>
          <w:rFonts w:cs="Calibri"/>
          <w:color w:val="000000"/>
          <w:sz w:val="24"/>
        </w:rPr>
        <w:t xml:space="preserve"> in</w:t>
      </w:r>
      <w:r w:rsidR="004D1FC1">
        <w:rPr>
          <w:rFonts w:cs="Calibri"/>
          <w:color w:val="000000"/>
          <w:sz w:val="24"/>
        </w:rPr>
        <w:t xml:space="preserve"> section</w:t>
      </w:r>
      <w:r w:rsidR="006E00BA">
        <w:rPr>
          <w:rFonts w:cs="Calibri"/>
          <w:color w:val="000000"/>
          <w:sz w:val="24"/>
        </w:rPr>
        <w:t xml:space="preserve"> </w:t>
      </w:r>
      <w:r w:rsidR="004D1FC1">
        <w:rPr>
          <w:rFonts w:cs="Calibri"/>
          <w:color w:val="000000"/>
          <w:sz w:val="24"/>
        </w:rPr>
        <w:fldChar w:fldCharType="begin"/>
      </w:r>
      <w:r w:rsidR="004D1FC1">
        <w:rPr>
          <w:rFonts w:cs="Calibri"/>
          <w:color w:val="000000"/>
          <w:sz w:val="24"/>
        </w:rPr>
        <w:instrText xml:space="preserve"> REF _Ref29472600 \w \h </w:instrText>
      </w:r>
      <w:r w:rsidR="004D1FC1">
        <w:rPr>
          <w:rFonts w:cs="Calibri"/>
          <w:color w:val="000000"/>
          <w:sz w:val="24"/>
        </w:rPr>
      </w:r>
      <w:r w:rsidR="004D1FC1">
        <w:rPr>
          <w:rFonts w:cs="Calibri"/>
          <w:color w:val="000000"/>
          <w:sz w:val="24"/>
        </w:rPr>
        <w:fldChar w:fldCharType="separate"/>
      </w:r>
      <w:r w:rsidR="004D1FC1">
        <w:rPr>
          <w:rFonts w:cs="Calibri"/>
          <w:color w:val="000000"/>
          <w:sz w:val="24"/>
        </w:rPr>
        <w:t>3.0</w:t>
      </w:r>
      <w:r w:rsidR="004D1FC1">
        <w:rPr>
          <w:rFonts w:cs="Calibri"/>
          <w:color w:val="000000"/>
          <w:sz w:val="24"/>
        </w:rPr>
        <w:fldChar w:fldCharType="end"/>
      </w:r>
      <w:r w:rsidR="00EA0106">
        <w:rPr>
          <w:rFonts w:cs="Calibri"/>
          <w:color w:val="000000"/>
          <w:sz w:val="24"/>
        </w:rPr>
        <w:t xml:space="preserve"> </w:t>
      </w:r>
      <w:r w:rsidR="00A57BF9">
        <w:rPr>
          <w:rFonts w:cs="Calibri"/>
          <w:color w:val="000000"/>
          <w:sz w:val="24"/>
        </w:rPr>
        <w:t xml:space="preserve">by following </w:t>
      </w:r>
      <w:hyperlink r:id="rId17" w:history="1">
        <w:r w:rsidR="002427D9" w:rsidRPr="00425B8F">
          <w:rPr>
            <w:rStyle w:val="Hyperlink"/>
            <w:rFonts w:cs="Calibri"/>
          </w:rPr>
          <w:t>LIGO-E2000003-v1</w:t>
        </w:r>
      </w:hyperlink>
      <w:r w:rsidR="00B333CD">
        <w:rPr>
          <w:rFonts w:cs="Calibri"/>
        </w:rPr>
        <w:t>.</w:t>
      </w:r>
    </w:p>
    <w:p w14:paraId="7975CAC8" w14:textId="36F143A2" w:rsidR="00553A20" w:rsidRDefault="00553A20" w:rsidP="00AD3724">
      <w:pPr>
        <w:rPr>
          <w:rFonts w:cs="Calibri"/>
          <w:color w:val="000000"/>
          <w:sz w:val="24"/>
        </w:rPr>
      </w:pPr>
      <w:bookmarkStart w:id="1" w:name="_GoBack"/>
      <w:bookmarkEnd w:id="1"/>
    </w:p>
    <w:p w14:paraId="186C2DBF" w14:textId="5B55547B" w:rsidR="00696D49" w:rsidRDefault="00696D49" w:rsidP="00696D49">
      <w:pPr>
        <w:pStyle w:val="Caption"/>
      </w:pPr>
      <w:bookmarkStart w:id="2" w:name="_Ref29472469"/>
      <w:r>
        <w:lastRenderedPageBreak/>
        <w:t xml:space="preserve">Table </w:t>
      </w:r>
      <w:r w:rsidR="00A42944">
        <w:fldChar w:fldCharType="begin"/>
      </w:r>
      <w:r w:rsidR="00A42944">
        <w:instrText xml:space="preserve"> SEQ Table \* ARABIC </w:instrText>
      </w:r>
      <w:r w:rsidR="00A42944">
        <w:fldChar w:fldCharType="separate"/>
      </w:r>
      <w:r>
        <w:rPr>
          <w:noProof/>
        </w:rPr>
        <w:t>1</w:t>
      </w:r>
      <w:r w:rsidR="00A42944">
        <w:rPr>
          <w:noProof/>
        </w:rP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436"/>
        <w:gridCol w:w="3070"/>
      </w:tblGrid>
      <w:tr w:rsidR="00134421" w14:paraId="13D53A25" w14:textId="77777777" w:rsidTr="00134421">
        <w:tc>
          <w:tcPr>
            <w:tcW w:w="3124" w:type="dxa"/>
            <w:shd w:val="clear" w:color="auto" w:fill="auto"/>
            <w:vAlign w:val="center"/>
          </w:tcPr>
          <w:p w14:paraId="364BF560" w14:textId="0674D685"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240C5EC8" wp14:editId="4FABA20E">
                  <wp:extent cx="1028700" cy="12477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247775"/>
                          </a:xfrm>
                          <a:prstGeom prst="rect">
                            <a:avLst/>
                          </a:prstGeom>
                          <a:noFill/>
                          <a:ln>
                            <a:noFill/>
                          </a:ln>
                        </pic:spPr>
                      </pic:pic>
                    </a:graphicData>
                  </a:graphic>
                </wp:inline>
              </w:drawing>
            </w:r>
          </w:p>
          <w:p w14:paraId="1B112CEF" w14:textId="77777777" w:rsidR="00553A20" w:rsidRDefault="00553A20" w:rsidP="001C4363">
            <w:pPr>
              <w:pStyle w:val="Caption"/>
            </w:pPr>
            <w:bookmarkStart w:id="3" w:name="_Ref27665493"/>
            <w:r>
              <w:t xml:space="preserve">Figure </w:t>
            </w:r>
            <w:fldSimple w:instr=" SEQ Figure \* ARABIC ">
              <w:r>
                <w:rPr>
                  <w:noProof/>
                </w:rPr>
                <w:t>1</w:t>
              </w:r>
            </w:fldSimple>
            <w:bookmarkEnd w:id="3"/>
          </w:p>
        </w:tc>
        <w:tc>
          <w:tcPr>
            <w:tcW w:w="2436" w:type="dxa"/>
            <w:shd w:val="clear" w:color="auto" w:fill="auto"/>
            <w:vAlign w:val="center"/>
          </w:tcPr>
          <w:p w14:paraId="7CF5841E" w14:textId="2F46468E"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64B65715" wp14:editId="7CF071AF">
                  <wp:extent cx="1257300" cy="1371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p w14:paraId="71DA750C" w14:textId="77777777" w:rsidR="00553A20" w:rsidRDefault="00553A20" w:rsidP="001C4363">
            <w:pPr>
              <w:pStyle w:val="Caption"/>
            </w:pPr>
            <w:bookmarkStart w:id="4" w:name="_Ref27665499"/>
            <w:r>
              <w:t xml:space="preserve">Figure </w:t>
            </w:r>
            <w:fldSimple w:instr=" SEQ Figure \* ARABIC ">
              <w:r>
                <w:rPr>
                  <w:noProof/>
                </w:rPr>
                <w:t>2</w:t>
              </w:r>
            </w:fldSimple>
            <w:bookmarkEnd w:id="4"/>
          </w:p>
        </w:tc>
        <w:tc>
          <w:tcPr>
            <w:tcW w:w="3070" w:type="dxa"/>
            <w:shd w:val="clear" w:color="auto" w:fill="auto"/>
            <w:vAlign w:val="center"/>
          </w:tcPr>
          <w:p w14:paraId="64C93AD4" w14:textId="2C59CC67"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93208ED" wp14:editId="1913EC38">
                  <wp:extent cx="1181100" cy="13525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inline>
              </w:drawing>
            </w:r>
          </w:p>
          <w:p w14:paraId="16E2BF65" w14:textId="77777777" w:rsidR="00553A20" w:rsidRDefault="00553A20" w:rsidP="001C4363">
            <w:pPr>
              <w:pStyle w:val="Caption"/>
            </w:pPr>
            <w:bookmarkStart w:id="5" w:name="_Ref27665521"/>
            <w:r>
              <w:t xml:space="preserve">Figure </w:t>
            </w:r>
            <w:fldSimple w:instr=" SEQ Figure \* ARABIC ">
              <w:r>
                <w:rPr>
                  <w:noProof/>
                </w:rPr>
                <w:t>3</w:t>
              </w:r>
            </w:fldSimple>
            <w:bookmarkEnd w:id="5"/>
          </w:p>
        </w:tc>
      </w:tr>
      <w:tr w:rsidR="00134421" w14:paraId="1FEBE9E0" w14:textId="77777777" w:rsidTr="00134421">
        <w:tc>
          <w:tcPr>
            <w:tcW w:w="3124" w:type="dxa"/>
            <w:shd w:val="clear" w:color="auto" w:fill="auto"/>
            <w:vAlign w:val="center"/>
          </w:tcPr>
          <w:p w14:paraId="7624569C" w14:textId="0D3B78E8"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3C07441E" wp14:editId="38541878">
                  <wp:extent cx="1409700" cy="14859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1485900"/>
                          </a:xfrm>
                          <a:prstGeom prst="rect">
                            <a:avLst/>
                          </a:prstGeom>
                          <a:noFill/>
                          <a:ln>
                            <a:noFill/>
                          </a:ln>
                        </pic:spPr>
                      </pic:pic>
                    </a:graphicData>
                  </a:graphic>
                </wp:inline>
              </w:drawing>
            </w:r>
          </w:p>
          <w:p w14:paraId="6B1B8F36" w14:textId="77777777" w:rsidR="00553A20" w:rsidRDefault="00553A20" w:rsidP="001C4363">
            <w:pPr>
              <w:pStyle w:val="Caption"/>
            </w:pPr>
            <w:bookmarkStart w:id="6" w:name="_Ref27665527"/>
            <w:r>
              <w:t xml:space="preserve">Figure </w:t>
            </w:r>
            <w:fldSimple w:instr=" SEQ Figure \* ARABIC ">
              <w:r>
                <w:rPr>
                  <w:noProof/>
                </w:rPr>
                <w:t>4</w:t>
              </w:r>
            </w:fldSimple>
            <w:bookmarkEnd w:id="6"/>
          </w:p>
        </w:tc>
        <w:tc>
          <w:tcPr>
            <w:tcW w:w="2436" w:type="dxa"/>
            <w:shd w:val="clear" w:color="auto" w:fill="auto"/>
            <w:vAlign w:val="center"/>
          </w:tcPr>
          <w:p w14:paraId="1B52043A" w14:textId="03EE5E70"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9BE3331" wp14:editId="1353764F">
                  <wp:extent cx="1076325"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p w14:paraId="3478F76B" w14:textId="77777777" w:rsidR="00553A20" w:rsidRDefault="00553A20" w:rsidP="001C4363">
            <w:pPr>
              <w:pStyle w:val="Caption"/>
            </w:pPr>
            <w:bookmarkStart w:id="7" w:name="_Ref27665531"/>
            <w:r>
              <w:t xml:space="preserve">Figure </w:t>
            </w:r>
            <w:fldSimple w:instr=" SEQ Figure \* ARABIC ">
              <w:r>
                <w:rPr>
                  <w:noProof/>
                </w:rPr>
                <w:t>5</w:t>
              </w:r>
            </w:fldSimple>
            <w:bookmarkEnd w:id="7"/>
          </w:p>
        </w:tc>
        <w:tc>
          <w:tcPr>
            <w:tcW w:w="3070" w:type="dxa"/>
            <w:shd w:val="clear" w:color="auto" w:fill="auto"/>
            <w:vAlign w:val="center"/>
          </w:tcPr>
          <w:p w14:paraId="1FB88F40" w14:textId="1FCB7AE4"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8FD5F11" wp14:editId="4012797D">
                  <wp:extent cx="1171575" cy="132397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1323975"/>
                          </a:xfrm>
                          <a:prstGeom prst="rect">
                            <a:avLst/>
                          </a:prstGeom>
                          <a:noFill/>
                          <a:ln>
                            <a:noFill/>
                          </a:ln>
                        </pic:spPr>
                      </pic:pic>
                    </a:graphicData>
                  </a:graphic>
                </wp:inline>
              </w:drawing>
            </w:r>
          </w:p>
          <w:p w14:paraId="065C59C1" w14:textId="77777777" w:rsidR="00553A20" w:rsidRDefault="00553A20" w:rsidP="001C4363">
            <w:pPr>
              <w:pStyle w:val="Caption"/>
            </w:pPr>
            <w:bookmarkStart w:id="8" w:name="_Ref27665534"/>
            <w:r>
              <w:t xml:space="preserve">Figure </w:t>
            </w:r>
            <w:fldSimple w:instr=" SEQ Figure \* ARABIC ">
              <w:r>
                <w:rPr>
                  <w:noProof/>
                </w:rPr>
                <w:t>6</w:t>
              </w:r>
            </w:fldSimple>
            <w:bookmarkEnd w:id="8"/>
          </w:p>
        </w:tc>
      </w:tr>
      <w:tr w:rsidR="00134421" w14:paraId="56F1C90C" w14:textId="77777777" w:rsidTr="00134421">
        <w:trPr>
          <w:trHeight w:val="2798"/>
        </w:trPr>
        <w:tc>
          <w:tcPr>
            <w:tcW w:w="3124" w:type="dxa"/>
            <w:shd w:val="clear" w:color="auto" w:fill="auto"/>
            <w:vAlign w:val="center"/>
          </w:tcPr>
          <w:p w14:paraId="38780906" w14:textId="0F43F97F"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35D9A939" wp14:editId="5110DEE6">
                  <wp:extent cx="1419225" cy="158115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1581150"/>
                          </a:xfrm>
                          <a:prstGeom prst="rect">
                            <a:avLst/>
                          </a:prstGeom>
                          <a:noFill/>
                          <a:ln>
                            <a:noFill/>
                          </a:ln>
                        </pic:spPr>
                      </pic:pic>
                    </a:graphicData>
                  </a:graphic>
                </wp:inline>
              </w:drawing>
            </w:r>
          </w:p>
          <w:p w14:paraId="6FFEEC11" w14:textId="77777777" w:rsidR="00553A20" w:rsidRDefault="00553A20" w:rsidP="001C4363">
            <w:pPr>
              <w:pStyle w:val="Caption"/>
            </w:pPr>
            <w:bookmarkStart w:id="9" w:name="_Ref27665538"/>
            <w:r>
              <w:t xml:space="preserve">Figure </w:t>
            </w:r>
            <w:fldSimple w:instr=" SEQ Figure \* ARABIC ">
              <w:r>
                <w:rPr>
                  <w:noProof/>
                </w:rPr>
                <w:t>7</w:t>
              </w:r>
            </w:fldSimple>
            <w:bookmarkEnd w:id="9"/>
          </w:p>
        </w:tc>
        <w:tc>
          <w:tcPr>
            <w:tcW w:w="2436" w:type="dxa"/>
            <w:shd w:val="clear" w:color="auto" w:fill="auto"/>
            <w:vAlign w:val="center"/>
          </w:tcPr>
          <w:p w14:paraId="21B32D8E" w14:textId="77777777" w:rsidR="00553A20" w:rsidRPr="00134421" w:rsidRDefault="00553A20" w:rsidP="001C4363">
            <w:pPr>
              <w:rPr>
                <w:rFonts w:ascii="Times New Roman" w:hAnsi="Times New Roman"/>
              </w:rPr>
            </w:pPr>
          </w:p>
        </w:tc>
        <w:tc>
          <w:tcPr>
            <w:tcW w:w="3070" w:type="dxa"/>
            <w:shd w:val="clear" w:color="auto" w:fill="auto"/>
            <w:vAlign w:val="center"/>
          </w:tcPr>
          <w:p w14:paraId="71E77148" w14:textId="77777777" w:rsidR="00553A20" w:rsidRPr="00134421" w:rsidRDefault="00553A20" w:rsidP="001C4363">
            <w:pPr>
              <w:rPr>
                <w:rFonts w:ascii="Times New Roman" w:hAnsi="Times New Roman"/>
              </w:rPr>
            </w:pPr>
          </w:p>
        </w:tc>
      </w:tr>
    </w:tbl>
    <w:p w14:paraId="2D5914FB" w14:textId="77777777"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p w14:paraId="11261FB3" w14:textId="61E32EF9" w:rsidR="00696D49" w:rsidRDefault="00696D49" w:rsidP="00696D49">
      <w:pPr>
        <w:pStyle w:val="Caption"/>
      </w:pPr>
      <w:bookmarkStart w:id="10" w:name="_Ref29472479"/>
      <w:r>
        <w:t xml:space="preserve">Table </w:t>
      </w:r>
      <w:r w:rsidR="00A42944">
        <w:fldChar w:fldCharType="begin"/>
      </w:r>
      <w:r w:rsidR="00A42944">
        <w:instrText xml:space="preserve"> SEQ Table \* ARABIC </w:instrText>
      </w:r>
      <w:r w:rsidR="00A42944">
        <w:fldChar w:fldCharType="separate"/>
      </w:r>
      <w:r>
        <w:rPr>
          <w:noProof/>
        </w:rPr>
        <w:t>2</w:t>
      </w:r>
      <w:r w:rsidR="00A42944">
        <w:rPr>
          <w:noProof/>
        </w:rPr>
        <w:fldChar w:fldCharType="end"/>
      </w:r>
      <w:bookmarkEnd w:id="10"/>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85"/>
        <w:gridCol w:w="3362"/>
        <w:gridCol w:w="1648"/>
        <w:gridCol w:w="2520"/>
      </w:tblGrid>
      <w:tr w:rsidR="0074065F" w:rsidRPr="00612E9D" w14:paraId="2096EAA9" w14:textId="77777777" w:rsidTr="0073718E">
        <w:trPr>
          <w:trHeight w:val="293"/>
        </w:trPr>
        <w:tc>
          <w:tcPr>
            <w:tcW w:w="1585" w:type="dxa"/>
            <w:vAlign w:val="center"/>
          </w:tcPr>
          <w:p w14:paraId="4D86B088" w14:textId="7F967BEF" w:rsidR="0074065F" w:rsidRPr="009C2E45" w:rsidRDefault="003D52F9" w:rsidP="00012EA8">
            <w:pPr>
              <w:rPr>
                <w:rFonts w:cs="Calibri"/>
                <w:b/>
              </w:rPr>
            </w:pPr>
            <w:r>
              <w:rPr>
                <w:rFonts w:cs="Calibri"/>
                <w:b/>
              </w:rPr>
              <w:t>Figure Reference</w:t>
            </w:r>
          </w:p>
        </w:tc>
        <w:tc>
          <w:tcPr>
            <w:tcW w:w="3362" w:type="dxa"/>
            <w:vAlign w:val="center"/>
          </w:tcPr>
          <w:p w14:paraId="432F38F5" w14:textId="77777777" w:rsidR="0074065F" w:rsidRPr="009C2E45" w:rsidRDefault="0074065F" w:rsidP="00012EA8">
            <w:pPr>
              <w:rPr>
                <w:rFonts w:cs="Calibri"/>
                <w:b/>
              </w:rPr>
            </w:pPr>
            <w:r w:rsidRPr="009C2E45">
              <w:rPr>
                <w:rFonts w:cs="Calibri"/>
                <w:b/>
              </w:rPr>
              <w:t>Part Description</w:t>
            </w:r>
          </w:p>
        </w:tc>
        <w:tc>
          <w:tcPr>
            <w:tcW w:w="1648" w:type="dxa"/>
          </w:tcPr>
          <w:p w14:paraId="05A8E9E5" w14:textId="77777777" w:rsidR="0074065F" w:rsidRPr="009C2E45" w:rsidRDefault="0074065F" w:rsidP="00F83252">
            <w:pPr>
              <w:rPr>
                <w:rFonts w:cs="Calibri"/>
                <w:b/>
              </w:rPr>
            </w:pPr>
            <w:r w:rsidRPr="009C2E45">
              <w:rPr>
                <w:rFonts w:cs="Calibri"/>
                <w:b/>
              </w:rPr>
              <w:t>Total Qty:</w:t>
            </w:r>
          </w:p>
        </w:tc>
        <w:tc>
          <w:tcPr>
            <w:tcW w:w="2520" w:type="dxa"/>
          </w:tcPr>
          <w:p w14:paraId="745CA0EF" w14:textId="33572417" w:rsidR="00313033" w:rsidRPr="009C2E45" w:rsidRDefault="00483841" w:rsidP="00F83252">
            <w:pPr>
              <w:rPr>
                <w:rFonts w:cs="Calibri"/>
                <w:b/>
              </w:rPr>
            </w:pPr>
            <w:r>
              <w:rPr>
                <w:rFonts w:cs="Calibri"/>
                <w:b/>
              </w:rPr>
              <w:t xml:space="preserve">Dimensional </w:t>
            </w:r>
            <w:r w:rsidR="008966C0">
              <w:rPr>
                <w:rFonts w:cs="Calibri"/>
                <w:b/>
              </w:rPr>
              <w:t xml:space="preserve">check </w:t>
            </w:r>
            <w:r w:rsidR="00313033" w:rsidRPr="009C2E45">
              <w:rPr>
                <w:rFonts w:cs="Calibri"/>
                <w:b/>
              </w:rPr>
              <w:t>Frequency</w:t>
            </w:r>
            <w:r w:rsidR="003F126B">
              <w:rPr>
                <w:rFonts w:cs="Calibri"/>
                <w:b/>
              </w:rPr>
              <w:t xml:space="preserve"> AQL</w:t>
            </w:r>
            <w:r w:rsidR="0073718E">
              <w:rPr>
                <w:rFonts w:cs="Calibri"/>
                <w:b/>
              </w:rPr>
              <w:t xml:space="preserve"> Number</w:t>
            </w:r>
          </w:p>
        </w:tc>
      </w:tr>
      <w:tr w:rsidR="003D52F9" w:rsidRPr="00612E9D" w14:paraId="7F29B42C" w14:textId="77777777" w:rsidTr="0073718E">
        <w:trPr>
          <w:trHeight w:val="293"/>
        </w:trPr>
        <w:tc>
          <w:tcPr>
            <w:tcW w:w="1585" w:type="dxa"/>
          </w:tcPr>
          <w:p w14:paraId="58B5165B" w14:textId="69417082" w:rsidR="003D52F9" w:rsidRPr="00612E9D" w:rsidRDefault="003D52F9" w:rsidP="003D52F9">
            <w:pPr>
              <w:rPr>
                <w:rFonts w:cs="Calibri"/>
              </w:rPr>
            </w:pPr>
            <w:r>
              <w:fldChar w:fldCharType="begin"/>
            </w:r>
            <w:r>
              <w:instrText xml:space="preserve"> REF _Ref27665493 \h </w:instrText>
            </w:r>
            <w:r w:rsidR="00696D49">
              <w:instrText xml:space="preserve"> \* MERGEFORMAT </w:instrText>
            </w:r>
            <w:r>
              <w:fldChar w:fldCharType="separate"/>
            </w:r>
            <w:r>
              <w:t xml:space="preserve">Figure </w:t>
            </w:r>
            <w:r>
              <w:rPr>
                <w:noProof/>
              </w:rPr>
              <w:t>1</w:t>
            </w:r>
            <w:r>
              <w:fldChar w:fldCharType="end"/>
            </w:r>
          </w:p>
        </w:tc>
        <w:tc>
          <w:tcPr>
            <w:tcW w:w="3362" w:type="dxa"/>
            <w:vAlign w:val="center"/>
          </w:tcPr>
          <w:p w14:paraId="36278D68" w14:textId="23CFF006" w:rsidR="003D52F9" w:rsidRPr="00612E9D" w:rsidRDefault="003D52F9" w:rsidP="003D52F9">
            <w:pPr>
              <w:rPr>
                <w:rFonts w:cs="Calibri"/>
              </w:rPr>
            </w:pPr>
            <w:r>
              <w:t>4.5 Inch CF (Blank Off)</w:t>
            </w:r>
          </w:p>
        </w:tc>
        <w:tc>
          <w:tcPr>
            <w:tcW w:w="1648" w:type="dxa"/>
          </w:tcPr>
          <w:p w14:paraId="26689B49" w14:textId="59716E4E" w:rsidR="003D52F9" w:rsidRPr="00612E9D" w:rsidRDefault="003D52F9" w:rsidP="003D52F9">
            <w:pPr>
              <w:jc w:val="center"/>
              <w:rPr>
                <w:rFonts w:cs="Calibri"/>
              </w:rPr>
            </w:pPr>
            <w:r>
              <w:t>6</w:t>
            </w:r>
          </w:p>
        </w:tc>
        <w:tc>
          <w:tcPr>
            <w:tcW w:w="2520" w:type="dxa"/>
          </w:tcPr>
          <w:p w14:paraId="161A0475" w14:textId="70EE28D0" w:rsidR="003D52F9" w:rsidRPr="00313033" w:rsidRDefault="0081709D" w:rsidP="003D52F9">
            <w:pPr>
              <w:jc w:val="center"/>
              <w:rPr>
                <w:rFonts w:cs="Calibri"/>
              </w:rPr>
            </w:pPr>
            <w:r>
              <w:rPr>
                <w:rFonts w:cs="Calibri"/>
              </w:rPr>
              <w:t>5</w:t>
            </w:r>
          </w:p>
        </w:tc>
      </w:tr>
      <w:tr w:rsidR="00E941C6" w:rsidRPr="00612E9D" w14:paraId="5707E195" w14:textId="77777777" w:rsidTr="0073718E">
        <w:trPr>
          <w:trHeight w:val="293"/>
        </w:trPr>
        <w:tc>
          <w:tcPr>
            <w:tcW w:w="1585" w:type="dxa"/>
          </w:tcPr>
          <w:p w14:paraId="7DF1FA9C" w14:textId="0E862656" w:rsidR="00E941C6" w:rsidRPr="00612E9D" w:rsidRDefault="00E941C6" w:rsidP="00E941C6">
            <w:pPr>
              <w:rPr>
                <w:rFonts w:cs="Calibri"/>
              </w:rPr>
            </w:pPr>
            <w:r>
              <w:fldChar w:fldCharType="begin"/>
            </w:r>
            <w:r>
              <w:instrText xml:space="preserve"> REF _Ref27665499 \h </w:instrText>
            </w:r>
            <w:r w:rsidR="00696D49">
              <w:instrText xml:space="preserve"> \* MERGEFORMAT </w:instrText>
            </w:r>
            <w:r>
              <w:fldChar w:fldCharType="separate"/>
            </w:r>
            <w:r>
              <w:t xml:space="preserve">Figure </w:t>
            </w:r>
            <w:r>
              <w:rPr>
                <w:noProof/>
              </w:rPr>
              <w:t>2</w:t>
            </w:r>
            <w:r>
              <w:fldChar w:fldCharType="end"/>
            </w:r>
          </w:p>
        </w:tc>
        <w:tc>
          <w:tcPr>
            <w:tcW w:w="3362" w:type="dxa"/>
            <w:vAlign w:val="center"/>
          </w:tcPr>
          <w:p w14:paraId="472831FA" w14:textId="2B02CCDF" w:rsidR="00E941C6" w:rsidRPr="00612E9D" w:rsidRDefault="00E941C6" w:rsidP="00E941C6">
            <w:pPr>
              <w:rPr>
                <w:rFonts w:cs="Calibri"/>
              </w:rPr>
            </w:pPr>
            <w:r>
              <w:t>4.5 Inch CF with Dual 3-pin Power Dsub</w:t>
            </w:r>
          </w:p>
        </w:tc>
        <w:tc>
          <w:tcPr>
            <w:tcW w:w="1648" w:type="dxa"/>
          </w:tcPr>
          <w:p w14:paraId="6C120EAC" w14:textId="2545A76A" w:rsidR="00E941C6" w:rsidRPr="00612E9D" w:rsidRDefault="00E941C6" w:rsidP="00E941C6">
            <w:pPr>
              <w:jc w:val="center"/>
              <w:rPr>
                <w:rFonts w:cs="Calibri"/>
              </w:rPr>
            </w:pPr>
            <w:r>
              <w:t>16</w:t>
            </w:r>
          </w:p>
        </w:tc>
        <w:tc>
          <w:tcPr>
            <w:tcW w:w="2520" w:type="dxa"/>
          </w:tcPr>
          <w:p w14:paraId="0BC9C7EF" w14:textId="21A6FDAC" w:rsidR="00E941C6" w:rsidRPr="00313033" w:rsidRDefault="00FA1C63" w:rsidP="00E941C6">
            <w:pPr>
              <w:jc w:val="center"/>
              <w:rPr>
                <w:rFonts w:cs="Calibri"/>
              </w:rPr>
            </w:pPr>
            <w:r>
              <w:rPr>
                <w:rFonts w:cs="Calibri"/>
              </w:rPr>
              <w:t>5</w:t>
            </w:r>
          </w:p>
        </w:tc>
      </w:tr>
      <w:tr w:rsidR="00E941C6" w:rsidRPr="00612E9D" w14:paraId="20A13077" w14:textId="77777777" w:rsidTr="0073718E">
        <w:trPr>
          <w:trHeight w:val="293"/>
        </w:trPr>
        <w:tc>
          <w:tcPr>
            <w:tcW w:w="1585" w:type="dxa"/>
          </w:tcPr>
          <w:p w14:paraId="6465EF16" w14:textId="4B79756D" w:rsidR="00E941C6" w:rsidRPr="00612E9D" w:rsidRDefault="00E941C6" w:rsidP="00E941C6">
            <w:pPr>
              <w:rPr>
                <w:rFonts w:cs="Calibri"/>
              </w:rPr>
            </w:pPr>
            <w:r>
              <w:fldChar w:fldCharType="begin"/>
            </w:r>
            <w:r>
              <w:instrText xml:space="preserve"> REF _Ref27665521 \h </w:instrText>
            </w:r>
            <w:r w:rsidR="00696D49">
              <w:instrText xml:space="preserve"> \* MERGEFORMAT </w:instrText>
            </w:r>
            <w:r>
              <w:fldChar w:fldCharType="separate"/>
            </w:r>
            <w:r>
              <w:t xml:space="preserve">Figure </w:t>
            </w:r>
            <w:r>
              <w:rPr>
                <w:noProof/>
              </w:rPr>
              <w:t>3</w:t>
            </w:r>
            <w:r>
              <w:fldChar w:fldCharType="end"/>
            </w:r>
          </w:p>
        </w:tc>
        <w:tc>
          <w:tcPr>
            <w:tcW w:w="3362" w:type="dxa"/>
            <w:vAlign w:val="center"/>
          </w:tcPr>
          <w:p w14:paraId="359216A7" w14:textId="5FB20198" w:rsidR="00E941C6" w:rsidRPr="00612E9D" w:rsidRDefault="00E941C6" w:rsidP="00E941C6">
            <w:pPr>
              <w:rPr>
                <w:rFonts w:cs="Calibri"/>
              </w:rPr>
            </w:pPr>
            <w:r>
              <w:t>4.5 Inch CF with Dual 25-Pin Dsub</w:t>
            </w:r>
          </w:p>
        </w:tc>
        <w:tc>
          <w:tcPr>
            <w:tcW w:w="1648" w:type="dxa"/>
          </w:tcPr>
          <w:p w14:paraId="407BE194" w14:textId="7D294425" w:rsidR="00E941C6" w:rsidRPr="00612E9D" w:rsidRDefault="00E941C6" w:rsidP="00E941C6">
            <w:pPr>
              <w:jc w:val="center"/>
              <w:rPr>
                <w:rFonts w:cs="Calibri"/>
              </w:rPr>
            </w:pPr>
            <w:r>
              <w:t>48</w:t>
            </w:r>
          </w:p>
        </w:tc>
        <w:tc>
          <w:tcPr>
            <w:tcW w:w="2520" w:type="dxa"/>
          </w:tcPr>
          <w:p w14:paraId="6B89CD98" w14:textId="3AA23FE2" w:rsidR="00E941C6" w:rsidRPr="00313033" w:rsidRDefault="003E56BA" w:rsidP="00E941C6">
            <w:pPr>
              <w:jc w:val="center"/>
              <w:rPr>
                <w:rFonts w:cs="Calibri"/>
              </w:rPr>
            </w:pPr>
            <w:r>
              <w:rPr>
                <w:rFonts w:cs="Calibri"/>
              </w:rPr>
              <w:t>5</w:t>
            </w:r>
          </w:p>
        </w:tc>
      </w:tr>
      <w:tr w:rsidR="00E941C6" w:rsidRPr="00612E9D" w14:paraId="038ACC88" w14:textId="77777777" w:rsidTr="0073718E">
        <w:trPr>
          <w:trHeight w:val="293"/>
        </w:trPr>
        <w:tc>
          <w:tcPr>
            <w:tcW w:w="1585" w:type="dxa"/>
          </w:tcPr>
          <w:p w14:paraId="62CCFC9A" w14:textId="0D9ABBAE" w:rsidR="00E941C6" w:rsidRPr="00612E9D" w:rsidRDefault="00E941C6" w:rsidP="00E941C6">
            <w:pPr>
              <w:rPr>
                <w:rFonts w:cs="Calibri"/>
              </w:rPr>
            </w:pPr>
            <w:r>
              <w:fldChar w:fldCharType="begin"/>
            </w:r>
            <w:r>
              <w:instrText xml:space="preserve"> REF _Ref27665527 \h </w:instrText>
            </w:r>
            <w:r w:rsidR="00696D49">
              <w:instrText xml:space="preserve"> \* MERGEFORMAT </w:instrText>
            </w:r>
            <w:r>
              <w:fldChar w:fldCharType="separate"/>
            </w:r>
            <w:r>
              <w:t xml:space="preserve">Figure </w:t>
            </w:r>
            <w:r>
              <w:rPr>
                <w:noProof/>
              </w:rPr>
              <w:t>4</w:t>
            </w:r>
            <w:r>
              <w:fldChar w:fldCharType="end"/>
            </w:r>
          </w:p>
        </w:tc>
        <w:tc>
          <w:tcPr>
            <w:tcW w:w="3362" w:type="dxa"/>
            <w:vAlign w:val="center"/>
          </w:tcPr>
          <w:p w14:paraId="6D0382B3" w14:textId="10407647" w:rsidR="00E941C6" w:rsidRPr="00612E9D" w:rsidRDefault="00E941C6" w:rsidP="00E941C6">
            <w:pPr>
              <w:rPr>
                <w:rFonts w:cs="Calibri"/>
              </w:rPr>
            </w:pPr>
            <w:r>
              <w:t>12 Inch CF with (12) 25-pin Dsub</w:t>
            </w:r>
          </w:p>
        </w:tc>
        <w:tc>
          <w:tcPr>
            <w:tcW w:w="1648" w:type="dxa"/>
          </w:tcPr>
          <w:p w14:paraId="3AB9F64D" w14:textId="290A7B1B" w:rsidR="00E941C6" w:rsidRPr="00612E9D" w:rsidRDefault="00E941C6" w:rsidP="00E941C6">
            <w:pPr>
              <w:jc w:val="center"/>
              <w:rPr>
                <w:rFonts w:cs="Calibri"/>
              </w:rPr>
            </w:pPr>
            <w:r>
              <w:t>10</w:t>
            </w:r>
          </w:p>
        </w:tc>
        <w:tc>
          <w:tcPr>
            <w:tcW w:w="2520" w:type="dxa"/>
          </w:tcPr>
          <w:p w14:paraId="0B2AC9C2" w14:textId="39FE0678" w:rsidR="00E941C6" w:rsidRPr="00313033" w:rsidRDefault="003E56BA" w:rsidP="00E941C6">
            <w:pPr>
              <w:jc w:val="center"/>
              <w:rPr>
                <w:rFonts w:cs="Calibri"/>
              </w:rPr>
            </w:pPr>
            <w:r>
              <w:rPr>
                <w:rFonts w:cs="Calibri"/>
              </w:rPr>
              <w:t>5</w:t>
            </w:r>
          </w:p>
        </w:tc>
      </w:tr>
      <w:tr w:rsidR="00E941C6" w:rsidRPr="00612E9D" w14:paraId="44AD59B6" w14:textId="77777777" w:rsidTr="0073718E">
        <w:trPr>
          <w:trHeight w:val="293"/>
        </w:trPr>
        <w:tc>
          <w:tcPr>
            <w:tcW w:w="1585" w:type="dxa"/>
          </w:tcPr>
          <w:p w14:paraId="7ED52198" w14:textId="041EB6F7" w:rsidR="00E941C6" w:rsidRPr="00612E9D" w:rsidRDefault="00E941C6" w:rsidP="00E941C6">
            <w:pPr>
              <w:rPr>
                <w:rFonts w:cs="Calibri"/>
              </w:rPr>
            </w:pPr>
            <w:r>
              <w:fldChar w:fldCharType="begin"/>
            </w:r>
            <w:r>
              <w:instrText xml:space="preserve"> REF _Ref27665531 \h </w:instrText>
            </w:r>
            <w:r w:rsidR="00696D49">
              <w:instrText xml:space="preserve"> \* MERGEFORMAT </w:instrText>
            </w:r>
            <w:r>
              <w:fldChar w:fldCharType="separate"/>
            </w:r>
            <w:r>
              <w:t xml:space="preserve">Figure </w:t>
            </w:r>
            <w:r>
              <w:rPr>
                <w:noProof/>
              </w:rPr>
              <w:t>5</w:t>
            </w:r>
            <w:r>
              <w:fldChar w:fldCharType="end"/>
            </w:r>
          </w:p>
        </w:tc>
        <w:tc>
          <w:tcPr>
            <w:tcW w:w="3362" w:type="dxa"/>
            <w:vAlign w:val="center"/>
          </w:tcPr>
          <w:p w14:paraId="5176BA28" w14:textId="4B817D65" w:rsidR="00E941C6" w:rsidRPr="00612E9D" w:rsidRDefault="00E941C6" w:rsidP="00E941C6">
            <w:pPr>
              <w:rPr>
                <w:rFonts w:cs="Calibri"/>
              </w:rPr>
            </w:pPr>
            <w:r>
              <w:t>4.5 Inch CF with Dual Triaxial Connectors</w:t>
            </w:r>
          </w:p>
        </w:tc>
        <w:tc>
          <w:tcPr>
            <w:tcW w:w="1648" w:type="dxa"/>
          </w:tcPr>
          <w:p w14:paraId="52D066C6" w14:textId="2A56B840" w:rsidR="00E941C6" w:rsidRPr="00612E9D" w:rsidRDefault="00E941C6" w:rsidP="00E941C6">
            <w:pPr>
              <w:jc w:val="center"/>
              <w:rPr>
                <w:rFonts w:cs="Calibri"/>
              </w:rPr>
            </w:pPr>
            <w:r>
              <w:t>16</w:t>
            </w:r>
          </w:p>
        </w:tc>
        <w:tc>
          <w:tcPr>
            <w:tcW w:w="2520" w:type="dxa"/>
          </w:tcPr>
          <w:p w14:paraId="20039665" w14:textId="15680FA8" w:rsidR="00E941C6" w:rsidRPr="00313033" w:rsidRDefault="003E56BA" w:rsidP="00E941C6">
            <w:pPr>
              <w:jc w:val="center"/>
              <w:rPr>
                <w:rFonts w:cs="Calibri"/>
              </w:rPr>
            </w:pPr>
            <w:r>
              <w:rPr>
                <w:rFonts w:cs="Calibri"/>
              </w:rPr>
              <w:t>5</w:t>
            </w:r>
          </w:p>
        </w:tc>
      </w:tr>
      <w:tr w:rsidR="00E941C6" w:rsidRPr="00612E9D" w14:paraId="496BCBF7" w14:textId="77777777" w:rsidTr="0073718E">
        <w:trPr>
          <w:trHeight w:val="293"/>
        </w:trPr>
        <w:tc>
          <w:tcPr>
            <w:tcW w:w="1585" w:type="dxa"/>
          </w:tcPr>
          <w:p w14:paraId="49577DB9" w14:textId="295DD06A" w:rsidR="00E941C6" w:rsidRPr="00612E9D" w:rsidRDefault="00E941C6" w:rsidP="00E941C6">
            <w:pPr>
              <w:rPr>
                <w:rFonts w:cs="Calibri"/>
              </w:rPr>
            </w:pPr>
            <w:r>
              <w:fldChar w:fldCharType="begin"/>
            </w:r>
            <w:r>
              <w:instrText xml:space="preserve"> REF _Ref27665534 \h </w:instrText>
            </w:r>
            <w:r w:rsidR="00696D49">
              <w:instrText xml:space="preserve"> \* MERGEFORMAT </w:instrText>
            </w:r>
            <w:r>
              <w:fldChar w:fldCharType="separate"/>
            </w:r>
            <w:r>
              <w:t xml:space="preserve">Figure </w:t>
            </w:r>
            <w:r>
              <w:rPr>
                <w:noProof/>
              </w:rPr>
              <w:t>6</w:t>
            </w:r>
            <w:r>
              <w:fldChar w:fldCharType="end"/>
            </w:r>
          </w:p>
        </w:tc>
        <w:tc>
          <w:tcPr>
            <w:tcW w:w="3362" w:type="dxa"/>
            <w:vAlign w:val="center"/>
          </w:tcPr>
          <w:p w14:paraId="3C7EFD8C" w14:textId="42798F21" w:rsidR="00E941C6" w:rsidRPr="00612E9D" w:rsidRDefault="00E941C6" w:rsidP="00E941C6">
            <w:pPr>
              <w:rPr>
                <w:rFonts w:cs="Calibri"/>
              </w:rPr>
            </w:pPr>
            <w:r>
              <w:t>12 Inch CF with (3) 4.5 Inch CF Subflanges</w:t>
            </w:r>
          </w:p>
        </w:tc>
        <w:tc>
          <w:tcPr>
            <w:tcW w:w="1648" w:type="dxa"/>
          </w:tcPr>
          <w:p w14:paraId="6ED1A771" w14:textId="4FC9CD1C" w:rsidR="00E941C6" w:rsidRPr="00612E9D" w:rsidRDefault="00E941C6" w:rsidP="00E941C6">
            <w:pPr>
              <w:jc w:val="center"/>
              <w:rPr>
                <w:rFonts w:cs="Calibri"/>
              </w:rPr>
            </w:pPr>
            <w:r>
              <w:t>26</w:t>
            </w:r>
          </w:p>
        </w:tc>
        <w:tc>
          <w:tcPr>
            <w:tcW w:w="2520" w:type="dxa"/>
          </w:tcPr>
          <w:p w14:paraId="7C11941B" w14:textId="6914BD77" w:rsidR="00E941C6" w:rsidRPr="00313033" w:rsidRDefault="003E56BA" w:rsidP="00E941C6">
            <w:pPr>
              <w:jc w:val="center"/>
              <w:rPr>
                <w:rFonts w:cs="Calibri"/>
              </w:rPr>
            </w:pPr>
            <w:r>
              <w:rPr>
                <w:rFonts w:cs="Calibri"/>
              </w:rPr>
              <w:t>5</w:t>
            </w:r>
          </w:p>
        </w:tc>
      </w:tr>
      <w:tr w:rsidR="00E941C6" w:rsidRPr="00612E9D" w14:paraId="38131C38" w14:textId="77777777" w:rsidTr="0073718E">
        <w:trPr>
          <w:trHeight w:val="293"/>
        </w:trPr>
        <w:tc>
          <w:tcPr>
            <w:tcW w:w="1585" w:type="dxa"/>
          </w:tcPr>
          <w:p w14:paraId="0D00A937" w14:textId="0F112C35" w:rsidR="00E941C6" w:rsidRDefault="00E941C6" w:rsidP="00E941C6">
            <w:r>
              <w:fldChar w:fldCharType="begin"/>
            </w:r>
            <w:r>
              <w:instrText xml:space="preserve"> REF _Ref27665538 \h </w:instrText>
            </w:r>
            <w:r w:rsidR="00696D49">
              <w:instrText xml:space="preserve"> \* MERGEFORMAT </w:instrText>
            </w:r>
            <w:r>
              <w:fldChar w:fldCharType="separate"/>
            </w:r>
            <w:r>
              <w:t xml:space="preserve">Figure </w:t>
            </w:r>
            <w:r>
              <w:rPr>
                <w:noProof/>
              </w:rPr>
              <w:t>7</w:t>
            </w:r>
            <w:r>
              <w:fldChar w:fldCharType="end"/>
            </w:r>
          </w:p>
        </w:tc>
        <w:tc>
          <w:tcPr>
            <w:tcW w:w="3362" w:type="dxa"/>
            <w:vAlign w:val="center"/>
          </w:tcPr>
          <w:p w14:paraId="6D6847D8" w14:textId="4C74AEF1" w:rsidR="00E941C6" w:rsidRPr="00612E9D" w:rsidRDefault="00E941C6" w:rsidP="00E941C6">
            <w:pPr>
              <w:rPr>
                <w:rFonts w:cs="Calibri"/>
              </w:rPr>
            </w:pPr>
            <w:r>
              <w:t>12 Inch CF (Blank Off)</w:t>
            </w:r>
          </w:p>
        </w:tc>
        <w:tc>
          <w:tcPr>
            <w:tcW w:w="1648" w:type="dxa"/>
          </w:tcPr>
          <w:p w14:paraId="54991165" w14:textId="0BCE8371" w:rsidR="00E941C6" w:rsidRPr="00612E9D" w:rsidRDefault="00E941C6" w:rsidP="00E941C6">
            <w:pPr>
              <w:jc w:val="center"/>
              <w:rPr>
                <w:rFonts w:cs="Calibri"/>
              </w:rPr>
            </w:pPr>
            <w:r>
              <w:t>6</w:t>
            </w:r>
          </w:p>
        </w:tc>
        <w:tc>
          <w:tcPr>
            <w:tcW w:w="2520" w:type="dxa"/>
          </w:tcPr>
          <w:p w14:paraId="0F3D2723" w14:textId="00D8F318" w:rsidR="00E941C6" w:rsidRPr="00313033" w:rsidRDefault="001923D6" w:rsidP="00E941C6">
            <w:pPr>
              <w:jc w:val="center"/>
              <w:rPr>
                <w:rFonts w:cs="Calibri"/>
              </w:rPr>
            </w:pPr>
            <w:r>
              <w:rPr>
                <w:rFonts w:cs="Calibri"/>
              </w:rPr>
              <w:t>5</w:t>
            </w:r>
          </w:p>
        </w:tc>
      </w:tr>
    </w:tbl>
    <w:p w14:paraId="477C9BD2" w14:textId="77777777" w:rsidR="0074065F" w:rsidRDefault="00313033" w:rsidP="00313033">
      <w:pPr>
        <w:rPr>
          <w:rFonts w:cs="Calibri"/>
        </w:rPr>
      </w:pPr>
      <w:r>
        <w:rPr>
          <w:rFonts w:cs="Calibri"/>
        </w:rPr>
        <w:t xml:space="preserve">Note: refer to </w:t>
      </w:r>
      <w:hyperlink r:id="rId25" w:tooltip="LIGO-Q1100003-v1" w:history="1">
        <w:r w:rsidR="00BF6CE8">
          <w:rPr>
            <w:rStyle w:val="Hyperlink"/>
          </w:rPr>
          <w:t>LIGO-Q1100003-v1</w:t>
        </w:r>
      </w:hyperlink>
      <w:r w:rsidR="00BF6CE8">
        <w:rPr>
          <w:rFonts w:cs="Calibri"/>
        </w:rPr>
        <w:t xml:space="preserve"> </w:t>
      </w:r>
      <w:r>
        <w:rPr>
          <w:rFonts w:cs="Calibri"/>
        </w:rPr>
        <w:t>for the AQL table.</w:t>
      </w:r>
    </w:p>
    <w:p w14:paraId="1272A002" w14:textId="1E1CE1AE" w:rsidR="00BF6CE8" w:rsidRDefault="00BF6CE8" w:rsidP="00313033">
      <w:pPr>
        <w:rPr>
          <w:rFonts w:cs="Calibri"/>
          <w:color w:val="FF0000"/>
        </w:rPr>
      </w:pPr>
      <w:r w:rsidRPr="00B54ECB">
        <w:rPr>
          <w:rFonts w:cs="Calibri"/>
          <w:vanish/>
          <w:color w:val="FF0000"/>
        </w:rPr>
        <w:lastRenderedPageBreak/>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14:paraId="4B6E0462" w14:textId="77777777" w:rsidR="00C45E60" w:rsidRPr="00612E9D" w:rsidRDefault="00C45E60" w:rsidP="00313033">
      <w:pPr>
        <w:rPr>
          <w:rFonts w:cs="Calibri"/>
        </w:rPr>
      </w:pPr>
    </w:p>
    <w:p w14:paraId="69067633" w14:textId="77777777" w:rsidR="00DD01A3" w:rsidRPr="005C7486" w:rsidRDefault="00DD01A3" w:rsidP="00DD01A3">
      <w:pPr>
        <w:numPr>
          <w:ilvl w:val="0"/>
          <w:numId w:val="13"/>
        </w:numPr>
        <w:rPr>
          <w:rFonts w:cs="Calibri"/>
          <w:b/>
          <w:color w:val="FF0000"/>
          <w:sz w:val="24"/>
          <w:szCs w:val="24"/>
        </w:rPr>
      </w:pPr>
      <w:r w:rsidRPr="00DD01A3">
        <w:rPr>
          <w:rFonts w:cs="Calibri"/>
          <w:b/>
          <w:sz w:val="28"/>
          <w:szCs w:val="28"/>
        </w:rPr>
        <w:t>Manufacturing:</w:t>
      </w:r>
      <w:r w:rsidRPr="00DD01A3">
        <w:rPr>
          <w:rFonts w:cs="Calibri"/>
          <w:b/>
          <w:color w:val="FF0000"/>
          <w:sz w:val="28"/>
          <w:szCs w:val="28"/>
        </w:rPr>
        <w:t xml:space="preserve"> </w:t>
      </w:r>
    </w:p>
    <w:p w14:paraId="37F1831B" w14:textId="77777777" w:rsidR="005C7486" w:rsidRPr="005C7486" w:rsidRDefault="005C7486" w:rsidP="005C7486">
      <w:pPr>
        <w:pStyle w:val="ListParagraph"/>
        <w:keepNext/>
        <w:ind w:left="0"/>
        <w:contextualSpacing w:val="0"/>
        <w:outlineLvl w:val="0"/>
        <w:rPr>
          <w:rFonts w:cs="Calibri"/>
          <w:b/>
        </w:rPr>
      </w:pPr>
    </w:p>
    <w:p w14:paraId="473F70F5" w14:textId="77777777" w:rsidR="00C144B4" w:rsidRPr="006964BB" w:rsidRDefault="00C144B4" w:rsidP="006E01AF">
      <w:pPr>
        <w:pStyle w:val="ListParagraph"/>
        <w:keepNext/>
        <w:numPr>
          <w:ilvl w:val="1"/>
          <w:numId w:val="13"/>
        </w:numPr>
        <w:contextualSpacing w:val="0"/>
        <w:outlineLvl w:val="0"/>
        <w:rPr>
          <w:rFonts w:cs="Calibri"/>
          <w:b/>
        </w:rPr>
      </w:pPr>
      <w:r w:rsidRPr="006964BB">
        <w:rPr>
          <w:rFonts w:cs="Calibri"/>
          <w:b/>
          <w:sz w:val="28"/>
          <w:szCs w:val="28"/>
        </w:rPr>
        <w:t>Requirements:</w:t>
      </w:r>
    </w:p>
    <w:p w14:paraId="67DD5226" w14:textId="2EB4B972" w:rsidR="00C144B4" w:rsidRPr="006964BB" w:rsidRDefault="00C144B4" w:rsidP="00C144B4">
      <w:pPr>
        <w:pStyle w:val="ListParagraph"/>
        <w:keepNext/>
        <w:contextualSpacing w:val="0"/>
        <w:outlineLvl w:val="0"/>
        <w:rPr>
          <w:rFonts w:cs="Calibri"/>
        </w:rPr>
      </w:pPr>
      <w:r w:rsidRPr="006964BB">
        <w:rPr>
          <w:rFonts w:cs="Calibri"/>
        </w:rPr>
        <w:t xml:space="preserve">Suppliers must refer to the LIGO Specifications </w:t>
      </w:r>
      <w:r w:rsidR="00744DFD" w:rsidRPr="006964BB">
        <w:rPr>
          <w:rFonts w:cs="Calibri"/>
        </w:rPr>
        <w:t>referenced in section 3 for additional</w:t>
      </w:r>
      <w:r w:rsidRPr="006964BB">
        <w:rPr>
          <w:rFonts w:cs="Calibri"/>
        </w:rPr>
        <w:t>, and in some cases, non-industry standard requirements.</w:t>
      </w:r>
    </w:p>
    <w:p w14:paraId="30A57244" w14:textId="77777777" w:rsidR="00C144B4" w:rsidRPr="006964BB" w:rsidRDefault="00C144B4" w:rsidP="00C144B4">
      <w:pPr>
        <w:pStyle w:val="ListParagraph"/>
        <w:keepNext/>
        <w:contextualSpacing w:val="0"/>
        <w:outlineLvl w:val="0"/>
        <w:rPr>
          <w:rFonts w:cs="Calibri"/>
        </w:rPr>
      </w:pPr>
    </w:p>
    <w:p w14:paraId="561D7B36" w14:textId="77777777" w:rsidR="0062494F" w:rsidRPr="006964BB" w:rsidRDefault="0062494F" w:rsidP="006E01AF">
      <w:pPr>
        <w:pStyle w:val="ListParagraph"/>
        <w:keepNext/>
        <w:numPr>
          <w:ilvl w:val="1"/>
          <w:numId w:val="13"/>
        </w:numPr>
        <w:contextualSpacing w:val="0"/>
        <w:outlineLvl w:val="0"/>
        <w:rPr>
          <w:rFonts w:cs="Calibri"/>
          <w:b/>
        </w:rPr>
      </w:pPr>
      <w:r w:rsidRPr="006964BB">
        <w:rPr>
          <w:rFonts w:cs="Calibri"/>
          <w:b/>
          <w:sz w:val="28"/>
          <w:szCs w:val="28"/>
        </w:rPr>
        <w:t>Sub-Contracted Work:</w:t>
      </w:r>
    </w:p>
    <w:p w14:paraId="440C9EA8" w14:textId="77777777" w:rsidR="00D120AA" w:rsidRPr="006964BB" w:rsidRDefault="001D0221" w:rsidP="00D120AA">
      <w:pPr>
        <w:pStyle w:val="ListParagraph"/>
        <w:keepNext/>
        <w:numPr>
          <w:ilvl w:val="0"/>
          <w:numId w:val="25"/>
        </w:numPr>
        <w:contextualSpacing w:val="0"/>
        <w:outlineLvl w:val="0"/>
        <w:rPr>
          <w:rFonts w:cs="Calibri"/>
        </w:rPr>
      </w:pPr>
      <w:r w:rsidRPr="006964BB">
        <w:rPr>
          <w:rFonts w:cs="Calibri"/>
        </w:rPr>
        <w:t xml:space="preserve">LIGO expects that at least 2/3 (by dollar value) of the contracted work be performed by the Supplier named on the Purchase Order.  The Supplier shall be responsible for all sub-contracted work.  </w:t>
      </w:r>
    </w:p>
    <w:p w14:paraId="332F7D48" w14:textId="7811271F" w:rsidR="0062494F" w:rsidRPr="006964BB" w:rsidRDefault="001D0221" w:rsidP="004B1ACC">
      <w:pPr>
        <w:pStyle w:val="ListParagraph"/>
        <w:keepNext/>
        <w:numPr>
          <w:ilvl w:val="0"/>
          <w:numId w:val="25"/>
        </w:numPr>
        <w:contextualSpacing w:val="0"/>
        <w:outlineLvl w:val="0"/>
        <w:rPr>
          <w:rFonts w:cs="Calibri"/>
        </w:rPr>
      </w:pPr>
      <w:r w:rsidRPr="006964BB">
        <w:rPr>
          <w:rFonts w:cs="Calibri"/>
        </w:rPr>
        <w:t xml:space="preserve">The Supplier’s quote shall state their intent to </w:t>
      </w:r>
      <w:r w:rsidR="00D120AA" w:rsidRPr="006964BB">
        <w:rPr>
          <w:rFonts w:cs="Calibri"/>
        </w:rPr>
        <w:t>sub-contract</w:t>
      </w:r>
      <w:r w:rsidRPr="006964BB">
        <w:rPr>
          <w:rFonts w:cs="Calibri"/>
        </w:rPr>
        <w:t xml:space="preserve"> any welding operations performed on components int</w:t>
      </w:r>
      <w:r w:rsidR="00D120AA" w:rsidRPr="006964BB">
        <w:rPr>
          <w:rFonts w:cs="Calibri"/>
        </w:rPr>
        <w:t>ended for Vacuum use.</w:t>
      </w:r>
    </w:p>
    <w:p w14:paraId="3FE5FC5D" w14:textId="77777777" w:rsidR="001D0221" w:rsidRPr="0062494F" w:rsidRDefault="001D0221" w:rsidP="004B1ACC">
      <w:pPr>
        <w:pStyle w:val="ListParagraph"/>
        <w:keepNext/>
        <w:ind w:left="1152"/>
        <w:contextualSpacing w:val="0"/>
        <w:outlineLvl w:val="0"/>
        <w:rPr>
          <w:rFonts w:cs="Calibri"/>
          <w:b/>
        </w:rPr>
      </w:pPr>
    </w:p>
    <w:p w14:paraId="750F4104" w14:textId="77777777" w:rsidR="006E01AF" w:rsidRPr="006E01AF" w:rsidRDefault="006E01AF" w:rsidP="004B1ACC">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14:paraId="653E305C" w14:textId="77777777"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14:paraId="1DD227A5" w14:textId="77777777" w:rsidR="006E01AF" w:rsidRPr="005C7486" w:rsidRDefault="006E01AF" w:rsidP="006E01AF">
      <w:pPr>
        <w:pStyle w:val="ListParagraph"/>
        <w:keepNext/>
        <w:ind w:left="1155"/>
        <w:contextualSpacing w:val="0"/>
        <w:outlineLvl w:val="0"/>
        <w:rPr>
          <w:rFonts w:cs="Calibri"/>
          <w:b/>
        </w:rPr>
      </w:pPr>
    </w:p>
    <w:p w14:paraId="22479FD6" w14:textId="77777777" w:rsidR="00D80789" w:rsidRPr="00D80789" w:rsidRDefault="00D80789" w:rsidP="005C7486">
      <w:pPr>
        <w:pStyle w:val="ListParagraph"/>
        <w:keepNext/>
        <w:numPr>
          <w:ilvl w:val="1"/>
          <w:numId w:val="13"/>
        </w:numPr>
        <w:contextualSpacing w:val="0"/>
        <w:outlineLvl w:val="0"/>
        <w:rPr>
          <w:rFonts w:cs="Calibri"/>
          <w:b/>
        </w:rPr>
      </w:pPr>
      <w:r>
        <w:rPr>
          <w:rFonts w:cs="Calibri"/>
          <w:b/>
          <w:sz w:val="28"/>
          <w:szCs w:val="28"/>
        </w:rPr>
        <w:t>Special Instructions:</w:t>
      </w:r>
    </w:p>
    <w:p w14:paraId="30CBA5BE" w14:textId="41B42FB9" w:rsidR="00D80789" w:rsidRPr="00D80789" w:rsidRDefault="00076933" w:rsidP="00D80789">
      <w:pPr>
        <w:pStyle w:val="ListParagraph"/>
        <w:keepNext/>
        <w:contextualSpacing w:val="0"/>
        <w:outlineLvl w:val="0"/>
        <w:rPr>
          <w:rFonts w:cs="Calibri"/>
          <w:b/>
        </w:rPr>
      </w:pPr>
      <w:r w:rsidRPr="00134421">
        <w:rPr>
          <w:rFonts w:cs="Calibri"/>
          <w:color w:val="000000"/>
        </w:rPr>
        <w:t>None</w:t>
      </w:r>
      <w:r w:rsidR="008F45DF">
        <w:rPr>
          <w:rFonts w:cs="Calibri"/>
          <w:vanish/>
          <w:color w:val="FF0000"/>
        </w:rPr>
        <w:t>Add</w:t>
      </w:r>
      <w:r w:rsidR="00D80789">
        <w:rPr>
          <w:rFonts w:cs="Calibri"/>
          <w:vanish/>
          <w:color w:val="FF0000"/>
        </w:rPr>
        <w:t xml:space="preserve"> special manufacturing notes</w:t>
      </w:r>
    </w:p>
    <w:p w14:paraId="0FA22B11" w14:textId="77777777" w:rsidR="00D80789" w:rsidRPr="00D80789" w:rsidRDefault="00D80789" w:rsidP="00D80789">
      <w:pPr>
        <w:pStyle w:val="ListParagraph"/>
        <w:keepNext/>
        <w:ind w:left="1155"/>
        <w:contextualSpacing w:val="0"/>
        <w:outlineLvl w:val="0"/>
        <w:rPr>
          <w:rFonts w:cs="Calibri"/>
          <w:b/>
        </w:rPr>
      </w:pPr>
    </w:p>
    <w:p w14:paraId="5B5AD1C3" w14:textId="3897A021" w:rsidR="006E01AF" w:rsidRPr="00076933" w:rsidRDefault="00D80789" w:rsidP="005C7486">
      <w:pPr>
        <w:pStyle w:val="ListParagraph"/>
        <w:keepNext/>
        <w:numPr>
          <w:ilvl w:val="1"/>
          <w:numId w:val="13"/>
        </w:numPr>
        <w:contextualSpacing w:val="0"/>
        <w:outlineLvl w:val="0"/>
        <w:rPr>
          <w:rFonts w:cs="Calibri"/>
          <w:b/>
        </w:rPr>
      </w:pPr>
      <w:r>
        <w:rPr>
          <w:rFonts w:cs="Calibri"/>
          <w:b/>
          <w:sz w:val="28"/>
          <w:szCs w:val="28"/>
        </w:rPr>
        <w:t>Exclusions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14:paraId="2BE6D640" w14:textId="12994B5F" w:rsidR="00076933" w:rsidRPr="00744DFD" w:rsidRDefault="00744DFD" w:rsidP="00E36F17">
      <w:pPr>
        <w:pStyle w:val="ListParagraph"/>
        <w:keepNext/>
        <w:contextualSpacing w:val="0"/>
        <w:outlineLvl w:val="0"/>
        <w:rPr>
          <w:rFonts w:cs="Calibri"/>
          <w:bCs/>
        </w:rPr>
      </w:pPr>
      <w:r>
        <w:rPr>
          <w:rFonts w:cs="Calibri"/>
          <w:bCs/>
        </w:rPr>
        <w:t>None</w:t>
      </w:r>
    </w:p>
    <w:p w14:paraId="21689293" w14:textId="77777777" w:rsidR="006E01AF" w:rsidRPr="006E01AF" w:rsidRDefault="006E01AF" w:rsidP="006E01AF">
      <w:pPr>
        <w:pStyle w:val="ListParagraph"/>
        <w:keepNext/>
        <w:contextualSpacing w:val="0"/>
        <w:outlineLvl w:val="0"/>
        <w:rPr>
          <w:rFonts w:cs="Calibri"/>
        </w:rPr>
      </w:pPr>
    </w:p>
    <w:p w14:paraId="43CBC5B4" w14:textId="77777777"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14:paraId="7B6C5BFC" w14:textId="5BB57C09" w:rsidR="00DD01A3" w:rsidRPr="00DD01A3" w:rsidRDefault="008F31E0" w:rsidP="00DD01A3">
      <w:pPr>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14:paraId="25C6AE0B" w14:textId="69E84E75" w:rsidR="005B53DF" w:rsidRDefault="00661F81" w:rsidP="00DD01A3">
      <w:pPr>
        <w:numPr>
          <w:ilvl w:val="0"/>
          <w:numId w:val="8"/>
        </w:numPr>
        <w:rPr>
          <w:rFonts w:cs="Calibri"/>
        </w:rPr>
      </w:pPr>
      <w:r>
        <w:rPr>
          <w:rFonts w:cs="Calibri"/>
        </w:rPr>
        <w:t xml:space="preserve">Specific to each serial number part </w:t>
      </w:r>
      <w:r w:rsidR="00C82F34">
        <w:rPr>
          <w:rFonts w:cs="Calibri"/>
        </w:rPr>
        <w:t>100</w:t>
      </w:r>
      <w:r w:rsidR="00C41A55">
        <w:rPr>
          <w:rFonts w:cs="Calibri"/>
        </w:rPr>
        <w:t xml:space="preserve">% testing </w:t>
      </w:r>
      <w:r w:rsidR="003D4FB4">
        <w:rPr>
          <w:rFonts w:cs="Calibri"/>
        </w:rPr>
        <w:t xml:space="preserve">for continuity on all </w:t>
      </w:r>
      <w:r w:rsidR="004A0D87">
        <w:rPr>
          <w:rFonts w:cs="Calibri"/>
        </w:rPr>
        <w:t>pins that are part of the electrical feedthroughs</w:t>
      </w:r>
    </w:p>
    <w:p w14:paraId="2BED70A7" w14:textId="58957EB2" w:rsidR="004A0D87" w:rsidRDefault="00661F81" w:rsidP="00DD01A3">
      <w:pPr>
        <w:numPr>
          <w:ilvl w:val="0"/>
          <w:numId w:val="8"/>
        </w:numPr>
        <w:rPr>
          <w:rFonts w:cs="Calibri"/>
        </w:rPr>
      </w:pPr>
      <w:r>
        <w:rPr>
          <w:rFonts w:cs="Calibri"/>
        </w:rPr>
        <w:t xml:space="preserve">Specific to each serial number part </w:t>
      </w:r>
      <w:r w:rsidR="004A0D87">
        <w:rPr>
          <w:rFonts w:cs="Calibri"/>
        </w:rPr>
        <w:t>100</w:t>
      </w:r>
      <w:r w:rsidR="003F4B3B">
        <w:rPr>
          <w:rFonts w:cs="Calibri"/>
        </w:rPr>
        <w:t xml:space="preserve">% HIPOT testing of all pins to </w:t>
      </w:r>
      <w:r w:rsidR="001A782A">
        <w:rPr>
          <w:rFonts w:cs="Calibri"/>
        </w:rPr>
        <w:t>the metal body of each conflat flange</w:t>
      </w:r>
      <w:r w:rsidR="00601131">
        <w:rPr>
          <w:rFonts w:cs="Calibri"/>
        </w:rPr>
        <w:t xml:space="preserve">.  </w:t>
      </w:r>
    </w:p>
    <w:p w14:paraId="058B2579" w14:textId="590259F9" w:rsidR="00877F77" w:rsidRPr="00661F81" w:rsidRDefault="00661F81" w:rsidP="00661F81">
      <w:pPr>
        <w:numPr>
          <w:ilvl w:val="0"/>
          <w:numId w:val="8"/>
        </w:numPr>
        <w:rPr>
          <w:rFonts w:cs="Calibri"/>
        </w:rPr>
      </w:pPr>
      <w:r>
        <w:rPr>
          <w:rFonts w:cs="Calibri"/>
        </w:rPr>
        <w:t xml:space="preserve">Specific to each serial number part </w:t>
      </w:r>
      <w:r w:rsidR="00FD6201">
        <w:rPr>
          <w:rFonts w:cs="Calibri"/>
        </w:rPr>
        <w:t xml:space="preserve">100% testing of </w:t>
      </w:r>
      <w:r w:rsidR="000A66B2">
        <w:rPr>
          <w:rFonts w:cs="Calibri"/>
        </w:rPr>
        <w:t xml:space="preserve">hermeticity </w:t>
      </w:r>
    </w:p>
    <w:p w14:paraId="566A31EB" w14:textId="33ACA457" w:rsidR="0074261C" w:rsidRDefault="00661F81" w:rsidP="00DD01A3">
      <w:pPr>
        <w:numPr>
          <w:ilvl w:val="0"/>
          <w:numId w:val="8"/>
        </w:numPr>
        <w:rPr>
          <w:rFonts w:cs="Calibri"/>
        </w:rPr>
      </w:pPr>
      <w:r>
        <w:rPr>
          <w:rFonts w:cs="Calibri"/>
        </w:rPr>
        <w:t xml:space="preserve">Specific to each serial number part </w:t>
      </w:r>
      <w:r w:rsidR="00A44C5A">
        <w:rPr>
          <w:rFonts w:cs="Calibri"/>
        </w:rPr>
        <w:t>100%</w:t>
      </w:r>
      <w:r w:rsidR="00C42C37">
        <w:rPr>
          <w:rFonts w:cs="Calibri"/>
        </w:rPr>
        <w:t xml:space="preserve"> visual</w:t>
      </w:r>
      <w:r w:rsidR="00DF3174">
        <w:rPr>
          <w:rFonts w:cs="Calibri"/>
        </w:rPr>
        <w:t xml:space="preserve"> inspection </w:t>
      </w:r>
      <w:r w:rsidR="00040FFF">
        <w:rPr>
          <w:rFonts w:cs="Calibri"/>
        </w:rPr>
        <w:t xml:space="preserve">for </w:t>
      </w:r>
      <w:r w:rsidR="009170C6">
        <w:rPr>
          <w:rFonts w:cs="Calibri"/>
        </w:rPr>
        <w:t xml:space="preserve">damage to </w:t>
      </w:r>
      <w:r w:rsidR="00DF3174">
        <w:rPr>
          <w:rFonts w:cs="Calibri"/>
        </w:rPr>
        <w:t xml:space="preserve">the knife edge </w:t>
      </w:r>
      <w:r w:rsidR="00C42C37">
        <w:rPr>
          <w:rFonts w:cs="Calibri"/>
        </w:rPr>
        <w:t xml:space="preserve">of all </w:t>
      </w:r>
      <w:r w:rsidR="00A44C5A">
        <w:rPr>
          <w:rFonts w:cs="Calibri"/>
        </w:rPr>
        <w:t>conflat flanges</w:t>
      </w:r>
    </w:p>
    <w:p w14:paraId="0711CB56" w14:textId="5DEB4519" w:rsidR="00DD01A3" w:rsidRPr="00DD01A3" w:rsidRDefault="00DD01A3" w:rsidP="00DD01A3">
      <w:pPr>
        <w:numPr>
          <w:ilvl w:val="0"/>
          <w:numId w:val="8"/>
        </w:numPr>
        <w:rPr>
          <w:rFonts w:cs="Calibri"/>
        </w:rPr>
      </w:pPr>
      <w:r w:rsidRPr="00DD01A3">
        <w:rPr>
          <w:rFonts w:cs="Calibri"/>
        </w:rPr>
        <w:t>Any as-built modifications (with approval of the LIGO Contracting Officer) as mark-ups to the drawings</w:t>
      </w:r>
    </w:p>
    <w:p w14:paraId="50B24E39" w14:textId="51DC765D" w:rsidR="00DD01A3" w:rsidRDefault="00DD01A3" w:rsidP="00DD01A3">
      <w:pPr>
        <w:numPr>
          <w:ilvl w:val="0"/>
          <w:numId w:val="8"/>
        </w:numPr>
        <w:rPr>
          <w:rFonts w:cs="Calibri"/>
        </w:rPr>
      </w:pPr>
      <w:r w:rsidRPr="00DD01A3">
        <w:rPr>
          <w:rFonts w:cs="Calibri"/>
        </w:rPr>
        <w:t>Material certifications</w:t>
      </w:r>
    </w:p>
    <w:p w14:paraId="7E953103" w14:textId="77777777" w:rsidR="00DD01A3" w:rsidRPr="006964BB" w:rsidRDefault="00D120AA" w:rsidP="00DD01A3">
      <w:pPr>
        <w:numPr>
          <w:ilvl w:val="0"/>
          <w:numId w:val="8"/>
        </w:numPr>
        <w:rPr>
          <w:rFonts w:cs="Calibri"/>
        </w:rPr>
      </w:pPr>
      <w:r w:rsidRPr="006964BB">
        <w:rPr>
          <w:rFonts w:cs="Calibri"/>
        </w:rPr>
        <w:t xml:space="preserve">Inspection reports of all dimensional features </w:t>
      </w:r>
      <w:r w:rsidR="0062072C" w:rsidRPr="006964BB">
        <w:rPr>
          <w:rFonts w:cs="Calibri"/>
        </w:rPr>
        <w:t>for t</w:t>
      </w:r>
      <w:r w:rsidR="0074065F" w:rsidRPr="006964BB">
        <w:rPr>
          <w:rFonts w:cs="Calibri"/>
        </w:rPr>
        <w:t xml:space="preserve">he number of parts specified per the AQL number and referenced in the AQL table </w:t>
      </w:r>
      <w:hyperlink r:id="rId26" w:tooltip="LIGO-Q1100003-v1" w:history="1">
        <w:r w:rsidR="00BF6CE8">
          <w:rPr>
            <w:rStyle w:val="Hyperlink"/>
          </w:rPr>
          <w:t>LIGO-Q1100003-v1</w:t>
        </w:r>
      </w:hyperlink>
      <w:r w:rsidR="00BF6CE8">
        <w:t xml:space="preserve"> and any other inspection requirements detailed in Section 5 of this SOW</w:t>
      </w:r>
    </w:p>
    <w:p w14:paraId="3C864DB4" w14:textId="77777777"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14:paraId="075FD7EC" w14:textId="77777777" w:rsidR="00A06428" w:rsidRPr="00A06428" w:rsidRDefault="00A06428" w:rsidP="00DD01A3">
      <w:pPr>
        <w:rPr>
          <w:rFonts w:cs="Calibri"/>
          <w:b/>
        </w:rPr>
      </w:pPr>
    </w:p>
    <w:p w14:paraId="02EB30EF" w14:textId="77777777" w:rsidR="00046A4C" w:rsidRDefault="009E56E3" w:rsidP="00046A4C">
      <w:pPr>
        <w:numPr>
          <w:ilvl w:val="0"/>
          <w:numId w:val="13"/>
        </w:numPr>
        <w:rPr>
          <w:rFonts w:cs="Calibri"/>
          <w:b/>
          <w:sz w:val="28"/>
          <w:szCs w:val="28"/>
        </w:rPr>
      </w:pPr>
      <w:r w:rsidRPr="00612E9D">
        <w:rPr>
          <w:rFonts w:cs="Calibri"/>
          <w:b/>
          <w:sz w:val="28"/>
          <w:szCs w:val="28"/>
        </w:rPr>
        <w:lastRenderedPageBreak/>
        <w:t>D</w:t>
      </w:r>
      <w:r w:rsidR="00FB1D85" w:rsidRPr="00612E9D">
        <w:rPr>
          <w:rFonts w:cs="Calibri"/>
          <w:b/>
          <w:sz w:val="28"/>
          <w:szCs w:val="28"/>
        </w:rPr>
        <w:t>elivery Requirements</w:t>
      </w:r>
      <w:r w:rsidR="00046A4C" w:rsidRPr="00612E9D">
        <w:rPr>
          <w:rFonts w:cs="Calibri"/>
          <w:b/>
          <w:sz w:val="28"/>
          <w:szCs w:val="28"/>
        </w:rPr>
        <w:t>:</w:t>
      </w:r>
    </w:p>
    <w:p w14:paraId="13C0FD25" w14:textId="77777777" w:rsidR="0001519E" w:rsidRPr="0001519E" w:rsidRDefault="0001519E" w:rsidP="0001519E">
      <w:pPr>
        <w:ind w:left="435"/>
        <w:rPr>
          <w:rFonts w:cs="Calibri"/>
          <w:b/>
        </w:rPr>
      </w:pPr>
    </w:p>
    <w:p w14:paraId="6DBC3062" w14:textId="77777777" w:rsidR="00B3760B" w:rsidRPr="00B3760B" w:rsidRDefault="00B3760B" w:rsidP="00B3760B">
      <w:pPr>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14:paraId="67991C6E" w14:textId="77777777" w:rsidR="00B3760B" w:rsidRDefault="00B3760B"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14:paraId="77E49979" w14:textId="77777777"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14:paraId="17E0BE48" w14:textId="77777777"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14:paraId="23F0856F" w14:textId="77777777" w:rsidR="00B3760B" w:rsidRPr="00B3760B" w:rsidRDefault="00B3760B" w:rsidP="00B3760B">
      <w:pPr>
        <w:numPr>
          <w:ilvl w:val="1"/>
          <w:numId w:val="13"/>
        </w:numPr>
        <w:rPr>
          <w:rFonts w:cs="Calibri"/>
          <w:b/>
          <w:sz w:val="28"/>
          <w:szCs w:val="28"/>
        </w:rPr>
      </w:pPr>
      <w:r>
        <w:rPr>
          <w:rFonts w:cs="Calibri"/>
          <w:b/>
          <w:sz w:val="28"/>
          <w:szCs w:val="28"/>
        </w:rPr>
        <w:t>Shipping Destination(s):</w:t>
      </w:r>
    </w:p>
    <w:p w14:paraId="5D3BAC6B" w14:textId="0083C3E1" w:rsidR="00046A4C" w:rsidRPr="00612E9D" w:rsidRDefault="009D1B18" w:rsidP="00046A4C">
      <w:pPr>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 xml:space="preserve">responsibility for shipping title and control of goods until they are </w:t>
      </w:r>
      <w:r w:rsidR="007537D3" w:rsidRPr="00612E9D">
        <w:rPr>
          <w:rFonts w:cs="Calibri"/>
        </w:rPr>
        <w:t>delivered,</w:t>
      </w:r>
      <w:r w:rsidR="00046A4C" w:rsidRPr="00612E9D">
        <w:rPr>
          <w:rFonts w:cs="Calibri"/>
        </w:rPr>
        <w:t xml:space="preserve">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14:paraId="55526E72" w14:textId="77777777" w:rsidR="00046A4C" w:rsidRPr="00B037FF" w:rsidRDefault="00046A4C" w:rsidP="00046A4C">
      <w:pPr>
        <w:rPr>
          <w:rFonts w:cs="Calibri"/>
        </w:rPr>
      </w:pPr>
    </w:p>
    <w:p w14:paraId="5663E2A1" w14:textId="77777777"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14:paraId="50FA24D0" w14:textId="178416EB" w:rsidR="00B045F9" w:rsidRDefault="004C00C0" w:rsidP="00B045F9">
      <w:pPr>
        <w:rPr>
          <w:rFonts w:cs="Calibri"/>
        </w:rPr>
      </w:pPr>
      <w:r>
        <w:rPr>
          <w:rFonts w:cs="Calibri"/>
        </w:rPr>
        <w:t xml:space="preserve">Once manufactured, </w:t>
      </w:r>
      <w:r w:rsidR="005C690B">
        <w:rPr>
          <w:rFonts w:cs="Calibri"/>
        </w:rPr>
        <w:t>t</w:t>
      </w:r>
      <w:r w:rsidR="00B045F9" w:rsidRPr="00612E9D">
        <w:rPr>
          <w:rFonts w:cs="Calibri"/>
        </w:rPr>
        <w:t>he</w:t>
      </w:r>
      <w:r w:rsidR="005C690B">
        <w:rPr>
          <w:rFonts w:cs="Calibri"/>
        </w:rPr>
        <w:t xml:space="preserve"> order </w:t>
      </w:r>
      <w:r w:rsidR="006455CD" w:rsidRPr="00612E9D">
        <w:rPr>
          <w:rFonts w:cs="Calibri"/>
        </w:rPr>
        <w:t xml:space="preserve">will be </w:t>
      </w:r>
      <w:r w:rsidR="00522315">
        <w:rPr>
          <w:rFonts w:cs="Calibri"/>
        </w:rPr>
        <w:t xml:space="preserve">split </w:t>
      </w:r>
      <w:r w:rsidR="00FA32CA">
        <w:rPr>
          <w:rFonts w:cs="Calibri"/>
        </w:rPr>
        <w:t>equally</w:t>
      </w:r>
      <w:r w:rsidR="007A2D7A">
        <w:rPr>
          <w:rFonts w:cs="Calibri"/>
        </w:rPr>
        <w:t xml:space="preserve"> and</w:t>
      </w:r>
      <w:r w:rsidR="00711CF1">
        <w:rPr>
          <w:rFonts w:cs="Calibri"/>
        </w:rPr>
        <w:t xml:space="preserve"> </w:t>
      </w:r>
      <w:r w:rsidR="006455CD" w:rsidRPr="00612E9D">
        <w:rPr>
          <w:rFonts w:cs="Calibri"/>
        </w:rPr>
        <w:t>shipped to</w:t>
      </w:r>
      <w:r w:rsidR="00B045F9" w:rsidRPr="00612E9D">
        <w:rPr>
          <w:rFonts w:cs="Calibri"/>
        </w:rPr>
        <w:t>:</w:t>
      </w:r>
    </w:p>
    <w:p w14:paraId="27630FBD" w14:textId="77777777" w:rsidR="00B3760B" w:rsidRPr="00612E9D" w:rsidRDefault="00B3760B" w:rsidP="00B045F9">
      <w:pPr>
        <w:rPr>
          <w:rFonts w:cs="Calibri"/>
        </w:rPr>
      </w:pPr>
    </w:p>
    <w:p w14:paraId="1E5F86C6" w14:textId="328A3DE2" w:rsidR="006455CD" w:rsidRPr="00612E9D" w:rsidRDefault="006455CD" w:rsidP="006455CD">
      <w:pPr>
        <w:ind w:left="720"/>
        <w:rPr>
          <w:rFonts w:cs="Calibri"/>
        </w:rPr>
      </w:pPr>
      <w:r w:rsidRPr="00B037FF">
        <w:rPr>
          <w:rFonts w:cs="Calibri"/>
          <w:b/>
        </w:rPr>
        <w:t>LIGO Livingston Observatory (LLO)</w:t>
      </w:r>
      <w:r w:rsidR="00B037FF">
        <w:rPr>
          <w:rFonts w:cs="Calibri"/>
          <w:b/>
        </w:rPr>
        <w:tab/>
      </w:r>
      <w:r w:rsidR="00B037FF">
        <w:rPr>
          <w:rFonts w:cs="Calibri"/>
          <w:b/>
        </w:rPr>
        <w:tab/>
      </w:r>
      <w:r w:rsidR="00B037FF" w:rsidRPr="00B037FF">
        <w:rPr>
          <w:rFonts w:cs="Calibri"/>
          <w:b/>
        </w:rPr>
        <w:t>LIGO Hanford Observatory (LHO)</w:t>
      </w:r>
      <w:r w:rsidR="0062072C">
        <w:rPr>
          <w:rFonts w:cs="Calibri"/>
        </w:rPr>
        <w:br/>
        <w:t xml:space="preserve">Attn: </w:t>
      </w:r>
      <w:r w:rsidR="00723254">
        <w:rPr>
          <w:rFonts w:cs="Calibri"/>
        </w:rPr>
        <w:t>Scott McCormi</w:t>
      </w:r>
      <w:r w:rsidR="00EB3F49">
        <w:rPr>
          <w:rFonts w:cs="Calibri"/>
        </w:rPr>
        <w:t>ck</w:t>
      </w:r>
      <w:r w:rsidR="0062072C">
        <w:rPr>
          <w:rFonts w:cs="Calibri"/>
        </w:rPr>
        <w:tab/>
      </w:r>
      <w:r w:rsidR="0062072C">
        <w:rPr>
          <w:rFonts w:cs="Calibri"/>
        </w:rPr>
        <w:tab/>
      </w:r>
      <w:r w:rsidR="0062072C">
        <w:rPr>
          <w:rFonts w:cs="Calibri"/>
        </w:rPr>
        <w:tab/>
      </w:r>
      <w:r w:rsidR="00176072">
        <w:rPr>
          <w:rFonts w:cs="Calibri"/>
        </w:rPr>
        <w:tab/>
      </w:r>
      <w:r w:rsidR="00B037FF" w:rsidRPr="00612E9D">
        <w:rPr>
          <w:rFonts w:cs="Calibri"/>
        </w:rPr>
        <w:t>At</w:t>
      </w:r>
      <w:r w:rsidR="0062072C">
        <w:rPr>
          <w:rFonts w:cs="Calibri"/>
        </w:rPr>
        <w:t xml:space="preserve">tn: </w:t>
      </w:r>
      <w:r w:rsidR="00EB3F49">
        <w:rPr>
          <w:rFonts w:cs="Calibri"/>
        </w:rPr>
        <w:t xml:space="preserve"> Chandra Romel</w:t>
      </w:r>
      <w:r w:rsidRPr="00612E9D">
        <w:rPr>
          <w:rFonts w:cs="Calibri"/>
        </w:rPr>
        <w:br/>
        <w:t xml:space="preserve">19100 LIGO Lane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127124 North Route 10</w:t>
      </w:r>
      <w:r w:rsidRPr="00612E9D">
        <w:rPr>
          <w:rFonts w:cs="Calibri"/>
        </w:rPr>
        <w:br/>
        <w:t xml:space="preserve">Livingston, LA 70754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Richland, WA  99354</w:t>
      </w:r>
    </w:p>
    <w:p w14:paraId="51C22DD9" w14:textId="77777777" w:rsidR="00AA5DC2" w:rsidRPr="00612E9D" w:rsidRDefault="00AA5DC2" w:rsidP="00AA5DC2">
      <w:pPr>
        <w:ind w:left="720"/>
        <w:rPr>
          <w:rFonts w:cs="Calibri"/>
        </w:rPr>
      </w:pPr>
    </w:p>
    <w:p w14:paraId="0981E8C7" w14:textId="77777777" w:rsidR="00B045F9" w:rsidRPr="00612E9D" w:rsidRDefault="00B045F9" w:rsidP="00AA5DC2">
      <w:pPr>
        <w:ind w:left="720"/>
        <w:rPr>
          <w:rFonts w:cs="Calibri"/>
        </w:rPr>
      </w:pPr>
    </w:p>
    <w:p w14:paraId="57CBDA48" w14:textId="2A4D6951" w:rsidR="00B3760B" w:rsidRDefault="00B3760B" w:rsidP="00B3760B">
      <w:pPr>
        <w:numPr>
          <w:ilvl w:val="1"/>
          <w:numId w:val="13"/>
        </w:numPr>
        <w:rPr>
          <w:rFonts w:cs="Calibri"/>
          <w:b/>
          <w:sz w:val="28"/>
          <w:szCs w:val="28"/>
        </w:rPr>
      </w:pPr>
      <w:r>
        <w:rPr>
          <w:rFonts w:cs="Calibri"/>
          <w:b/>
          <w:sz w:val="28"/>
          <w:szCs w:val="28"/>
        </w:rPr>
        <w:t>Delivery Schedule:</w:t>
      </w:r>
    </w:p>
    <w:p w14:paraId="76CE0304" w14:textId="569D9CC1" w:rsidR="00C42E69" w:rsidRPr="003B6C70" w:rsidRDefault="00AE3368" w:rsidP="00C42E69">
      <w:pPr>
        <w:ind w:left="720"/>
        <w:rPr>
          <w:rFonts w:cs="Calibri"/>
          <w:bCs/>
          <w:sz w:val="28"/>
          <w:szCs w:val="28"/>
        </w:rPr>
      </w:pPr>
      <w:r>
        <w:rPr>
          <w:rFonts w:cs="Calibri"/>
        </w:rPr>
        <w:t>8</w:t>
      </w:r>
      <w:r w:rsidR="000143A6">
        <w:rPr>
          <w:rFonts w:cs="Calibri"/>
        </w:rPr>
        <w:t xml:space="preserve"> weeks ARO</w:t>
      </w:r>
    </w:p>
    <w:p w14:paraId="4281DAA4" w14:textId="77777777" w:rsidR="00964ABD" w:rsidRDefault="00964ABD" w:rsidP="00964ABD">
      <w:pPr>
        <w:rPr>
          <w:rFonts w:cs="Calibri"/>
        </w:rPr>
      </w:pPr>
    </w:p>
    <w:p w14:paraId="0AADA14B" w14:textId="77777777"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14:paraId="42117A4F" w14:textId="77777777"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782E7" w14:textId="77777777" w:rsidR="00A42944" w:rsidRDefault="00A42944" w:rsidP="00CE4A37">
      <w:r>
        <w:separator/>
      </w:r>
    </w:p>
  </w:endnote>
  <w:endnote w:type="continuationSeparator" w:id="0">
    <w:p w14:paraId="0885D2C7" w14:textId="77777777" w:rsidR="00A42944" w:rsidRDefault="00A42944" w:rsidP="00C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1A08" w14:textId="47775636" w:rsidR="0056236B" w:rsidRPr="001E6A5E" w:rsidRDefault="0056236B"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6050E6">
      <w:rPr>
        <w:rStyle w:val="PageNumber"/>
        <w:rFonts w:ascii="Times New Roman" w:hAnsi="Times New Roman"/>
        <w:noProof/>
      </w:rPr>
      <w:t>4</w:t>
    </w:r>
    <w:r w:rsidRPr="001E6A5E">
      <w:rPr>
        <w:rStyle w:val="PageNumber"/>
        <w:rFonts w:ascii="Times New Roman" w:hAnsi="Times New Roman"/>
      </w:rPr>
      <w:fldChar w:fldCharType="end"/>
    </w:r>
    <w:r w:rsidRPr="001E6A5E">
      <w:rPr>
        <w:rStyle w:val="PageNumber"/>
        <w:rFonts w:ascii="Times New Roman" w:hAnsi="Times New Roman"/>
      </w:rPr>
      <w:t xml:space="preserve"> of </w:t>
    </w:r>
    <w:r w:rsidRPr="001E6A5E">
      <w:rPr>
        <w:rStyle w:val="PageNumber"/>
        <w:rFonts w:ascii="Times New Roman" w:hAnsi="Times New Roman"/>
      </w:rPr>
      <w:fldChar w:fldCharType="begin"/>
    </w:r>
    <w:r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6050E6">
      <w:rPr>
        <w:rStyle w:val="PageNumber"/>
        <w:rFonts w:ascii="Times New Roman" w:hAnsi="Times New Roman"/>
        <w:noProof/>
      </w:rPr>
      <w:t>4</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Pr="00612E9D">
      <w:rPr>
        <w:rStyle w:val="PageNumber"/>
        <w:rFonts w:ascii="Times New Roman" w:hAnsi="Times New Roman"/>
        <w:color w:val="000000"/>
        <w:sz w:val="24"/>
        <w:szCs w:val="24"/>
      </w:rPr>
      <w:t>LIGO</w:t>
    </w:r>
    <w:r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3E7080">
      <w:rPr>
        <w:rFonts w:ascii="Times New Roman" w:hAnsi="Times New Roman"/>
        <w:bCs/>
        <w:color w:val="000000"/>
        <w:sz w:val="24"/>
        <w:szCs w:val="24"/>
      </w:rPr>
      <w:t>900390</w:t>
    </w:r>
    <w:r w:rsidR="00E303B5" w:rsidRPr="00612E9D">
      <w:rPr>
        <w:rFonts w:ascii="Times New Roman" w:hAnsi="Times New Roman"/>
        <w:bCs/>
        <w:color w:val="000000"/>
        <w:sz w:val="24"/>
        <w:szCs w:val="24"/>
      </w:rPr>
      <w:t>-v</w:t>
    </w:r>
    <w:r w:rsidR="006050E6">
      <w:rPr>
        <w:rFonts w:ascii="Times New Roman" w:hAnsi="Times New Roman"/>
        <w:bCs/>
        <w:color w:val="000000"/>
        <w:sz w:val="24"/>
        <w:szCs w:val="24"/>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758F" w14:textId="77777777" w:rsidR="00A42944" w:rsidRDefault="00A42944" w:rsidP="00CE4A37">
      <w:r>
        <w:separator/>
      </w:r>
    </w:p>
  </w:footnote>
  <w:footnote w:type="continuationSeparator" w:id="0">
    <w:p w14:paraId="5745B7D0" w14:textId="77777777" w:rsidR="00A42944" w:rsidRDefault="00A42944" w:rsidP="00CE4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15:restartNumberingAfterBreak="0">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0" w15:restartNumberingAfterBreak="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15:restartNumberingAfterBreak="0">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5"/>
  </w:num>
  <w:num w:numId="4">
    <w:abstractNumId w:val="1"/>
  </w:num>
  <w:num w:numId="5">
    <w:abstractNumId w:val="12"/>
  </w:num>
  <w:num w:numId="6">
    <w:abstractNumId w:val="7"/>
  </w:num>
  <w:num w:numId="7">
    <w:abstractNumId w:val="23"/>
  </w:num>
  <w:num w:numId="8">
    <w:abstractNumId w:val="14"/>
  </w:num>
  <w:num w:numId="9">
    <w:abstractNumId w:val="3"/>
  </w:num>
  <w:num w:numId="10">
    <w:abstractNumId w:val="4"/>
  </w:num>
  <w:num w:numId="11">
    <w:abstractNumId w:val="5"/>
  </w:num>
  <w:num w:numId="12">
    <w:abstractNumId w:val="0"/>
  </w:num>
  <w:num w:numId="13">
    <w:abstractNumId w:val="17"/>
  </w:num>
  <w:num w:numId="14">
    <w:abstractNumId w:val="2"/>
  </w:num>
  <w:num w:numId="15">
    <w:abstractNumId w:val="22"/>
  </w:num>
  <w:num w:numId="16">
    <w:abstractNumId w:val="19"/>
  </w:num>
  <w:num w:numId="17">
    <w:abstractNumId w:val="6"/>
  </w:num>
  <w:num w:numId="18">
    <w:abstractNumId w:val="18"/>
  </w:num>
  <w:num w:numId="19">
    <w:abstractNumId w:val="13"/>
  </w:num>
  <w:num w:numId="20">
    <w:abstractNumId w:val="9"/>
  </w:num>
  <w:num w:numId="21">
    <w:abstractNumId w:val="24"/>
  </w:num>
  <w:num w:numId="22">
    <w:abstractNumId w:val="10"/>
  </w:num>
  <w:num w:numId="23">
    <w:abstractNumId w:val="8"/>
  </w:num>
  <w:num w:numId="24">
    <w:abstractNumId w:val="1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95"/>
    <w:rsid w:val="000005F9"/>
    <w:rsid w:val="000050A5"/>
    <w:rsid w:val="00012EA8"/>
    <w:rsid w:val="000143A6"/>
    <w:rsid w:val="0001480D"/>
    <w:rsid w:val="0001519E"/>
    <w:rsid w:val="000163B8"/>
    <w:rsid w:val="0002219B"/>
    <w:rsid w:val="000241B4"/>
    <w:rsid w:val="00025C59"/>
    <w:rsid w:val="00040FFF"/>
    <w:rsid w:val="000453F7"/>
    <w:rsid w:val="00046A4C"/>
    <w:rsid w:val="00052A07"/>
    <w:rsid w:val="000635E3"/>
    <w:rsid w:val="00076933"/>
    <w:rsid w:val="0008050C"/>
    <w:rsid w:val="000868D4"/>
    <w:rsid w:val="000873AA"/>
    <w:rsid w:val="00091121"/>
    <w:rsid w:val="000A49C6"/>
    <w:rsid w:val="000A66B2"/>
    <w:rsid w:val="000E70C7"/>
    <w:rsid w:val="000F4395"/>
    <w:rsid w:val="001010ED"/>
    <w:rsid w:val="0010174C"/>
    <w:rsid w:val="00110A84"/>
    <w:rsid w:val="001155EE"/>
    <w:rsid w:val="00115FF6"/>
    <w:rsid w:val="001176E8"/>
    <w:rsid w:val="00130605"/>
    <w:rsid w:val="00134421"/>
    <w:rsid w:val="00142BD3"/>
    <w:rsid w:val="00145C34"/>
    <w:rsid w:val="00152D19"/>
    <w:rsid w:val="00152FA8"/>
    <w:rsid w:val="00155190"/>
    <w:rsid w:val="00157046"/>
    <w:rsid w:val="00160EA5"/>
    <w:rsid w:val="001704D4"/>
    <w:rsid w:val="001720C7"/>
    <w:rsid w:val="00176072"/>
    <w:rsid w:val="00177470"/>
    <w:rsid w:val="001817BF"/>
    <w:rsid w:val="001923D6"/>
    <w:rsid w:val="00193DA0"/>
    <w:rsid w:val="00196C1C"/>
    <w:rsid w:val="001A0A8B"/>
    <w:rsid w:val="001A782A"/>
    <w:rsid w:val="001B6C4D"/>
    <w:rsid w:val="001B6F67"/>
    <w:rsid w:val="001B7358"/>
    <w:rsid w:val="001C4BDA"/>
    <w:rsid w:val="001C64BD"/>
    <w:rsid w:val="001D0221"/>
    <w:rsid w:val="001E5064"/>
    <w:rsid w:val="001E6A5E"/>
    <w:rsid w:val="00230BC2"/>
    <w:rsid w:val="002413C2"/>
    <w:rsid w:val="002427D9"/>
    <w:rsid w:val="00243731"/>
    <w:rsid w:val="00273062"/>
    <w:rsid w:val="002852E5"/>
    <w:rsid w:val="002925E3"/>
    <w:rsid w:val="002955A3"/>
    <w:rsid w:val="002A696E"/>
    <w:rsid w:val="002B3428"/>
    <w:rsid w:val="002B6458"/>
    <w:rsid w:val="002E3835"/>
    <w:rsid w:val="002E4A43"/>
    <w:rsid w:val="002F6FD6"/>
    <w:rsid w:val="0030542F"/>
    <w:rsid w:val="00313033"/>
    <w:rsid w:val="00320A7E"/>
    <w:rsid w:val="003222EB"/>
    <w:rsid w:val="00340B4F"/>
    <w:rsid w:val="00342DFC"/>
    <w:rsid w:val="00343C5A"/>
    <w:rsid w:val="0034477F"/>
    <w:rsid w:val="00346AC1"/>
    <w:rsid w:val="0034768D"/>
    <w:rsid w:val="00353383"/>
    <w:rsid w:val="00354141"/>
    <w:rsid w:val="0036095E"/>
    <w:rsid w:val="0038051D"/>
    <w:rsid w:val="00381182"/>
    <w:rsid w:val="00381D6A"/>
    <w:rsid w:val="0039431D"/>
    <w:rsid w:val="0039459B"/>
    <w:rsid w:val="003A3F70"/>
    <w:rsid w:val="003B3433"/>
    <w:rsid w:val="003B6C70"/>
    <w:rsid w:val="003D4FB4"/>
    <w:rsid w:val="003D52F9"/>
    <w:rsid w:val="003E56BA"/>
    <w:rsid w:val="003E7080"/>
    <w:rsid w:val="003F126B"/>
    <w:rsid w:val="003F15E9"/>
    <w:rsid w:val="003F34E5"/>
    <w:rsid w:val="003F4B3B"/>
    <w:rsid w:val="004015B7"/>
    <w:rsid w:val="00417E67"/>
    <w:rsid w:val="00417F30"/>
    <w:rsid w:val="004211EE"/>
    <w:rsid w:val="00422322"/>
    <w:rsid w:val="00422624"/>
    <w:rsid w:val="00425B8F"/>
    <w:rsid w:val="00427992"/>
    <w:rsid w:val="00444690"/>
    <w:rsid w:val="0045185B"/>
    <w:rsid w:val="004533F7"/>
    <w:rsid w:val="00482FE5"/>
    <w:rsid w:val="00483841"/>
    <w:rsid w:val="004A0D87"/>
    <w:rsid w:val="004B1ACC"/>
    <w:rsid w:val="004B23AD"/>
    <w:rsid w:val="004B668F"/>
    <w:rsid w:val="004C00C0"/>
    <w:rsid w:val="004C6E3F"/>
    <w:rsid w:val="004D1FC1"/>
    <w:rsid w:val="004D22D1"/>
    <w:rsid w:val="004E2221"/>
    <w:rsid w:val="004F05A5"/>
    <w:rsid w:val="00507390"/>
    <w:rsid w:val="0051087A"/>
    <w:rsid w:val="00522315"/>
    <w:rsid w:val="00523332"/>
    <w:rsid w:val="00523FF2"/>
    <w:rsid w:val="00524316"/>
    <w:rsid w:val="00533303"/>
    <w:rsid w:val="0054344D"/>
    <w:rsid w:val="00553A20"/>
    <w:rsid w:val="0056236B"/>
    <w:rsid w:val="0056676B"/>
    <w:rsid w:val="00570DC9"/>
    <w:rsid w:val="00572309"/>
    <w:rsid w:val="00573BD3"/>
    <w:rsid w:val="00577697"/>
    <w:rsid w:val="005873AC"/>
    <w:rsid w:val="0058755B"/>
    <w:rsid w:val="00587AC5"/>
    <w:rsid w:val="0059574F"/>
    <w:rsid w:val="00595A90"/>
    <w:rsid w:val="00595D61"/>
    <w:rsid w:val="005A0047"/>
    <w:rsid w:val="005A5810"/>
    <w:rsid w:val="005B177D"/>
    <w:rsid w:val="005B53DF"/>
    <w:rsid w:val="005C690B"/>
    <w:rsid w:val="005C7486"/>
    <w:rsid w:val="005D5DB8"/>
    <w:rsid w:val="005E52F2"/>
    <w:rsid w:val="005F0220"/>
    <w:rsid w:val="005F4640"/>
    <w:rsid w:val="00601131"/>
    <w:rsid w:val="006050E6"/>
    <w:rsid w:val="00606285"/>
    <w:rsid w:val="00612E9D"/>
    <w:rsid w:val="00613AA6"/>
    <w:rsid w:val="00616EC3"/>
    <w:rsid w:val="0062072C"/>
    <w:rsid w:val="0062494F"/>
    <w:rsid w:val="00625DFC"/>
    <w:rsid w:val="00625FB5"/>
    <w:rsid w:val="00640FDF"/>
    <w:rsid w:val="00642B7D"/>
    <w:rsid w:val="006455CD"/>
    <w:rsid w:val="00652D0A"/>
    <w:rsid w:val="006606DF"/>
    <w:rsid w:val="00661F81"/>
    <w:rsid w:val="006631BF"/>
    <w:rsid w:val="006658A7"/>
    <w:rsid w:val="00692083"/>
    <w:rsid w:val="006964BB"/>
    <w:rsid w:val="00696D49"/>
    <w:rsid w:val="00697FE1"/>
    <w:rsid w:val="006A2EA7"/>
    <w:rsid w:val="006A7469"/>
    <w:rsid w:val="006A7F48"/>
    <w:rsid w:val="006C5ED0"/>
    <w:rsid w:val="006D31F1"/>
    <w:rsid w:val="006D46A3"/>
    <w:rsid w:val="006E00BA"/>
    <w:rsid w:val="006E01AF"/>
    <w:rsid w:val="006E3DC0"/>
    <w:rsid w:val="006E5CD1"/>
    <w:rsid w:val="006E7833"/>
    <w:rsid w:val="00701DF9"/>
    <w:rsid w:val="00701F02"/>
    <w:rsid w:val="007042B8"/>
    <w:rsid w:val="00711CF1"/>
    <w:rsid w:val="00714647"/>
    <w:rsid w:val="00722202"/>
    <w:rsid w:val="00723254"/>
    <w:rsid w:val="00726C18"/>
    <w:rsid w:val="00731DB2"/>
    <w:rsid w:val="0073718E"/>
    <w:rsid w:val="0074065F"/>
    <w:rsid w:val="0074261C"/>
    <w:rsid w:val="00744DFD"/>
    <w:rsid w:val="00747E2E"/>
    <w:rsid w:val="007537D3"/>
    <w:rsid w:val="00763D5A"/>
    <w:rsid w:val="00766222"/>
    <w:rsid w:val="00770773"/>
    <w:rsid w:val="0077447F"/>
    <w:rsid w:val="007931FF"/>
    <w:rsid w:val="007A2D7A"/>
    <w:rsid w:val="007A42D0"/>
    <w:rsid w:val="007B5F74"/>
    <w:rsid w:val="007B6659"/>
    <w:rsid w:val="007C0154"/>
    <w:rsid w:val="007C01C7"/>
    <w:rsid w:val="007C1691"/>
    <w:rsid w:val="007C2BB6"/>
    <w:rsid w:val="007D4AD9"/>
    <w:rsid w:val="007D54ED"/>
    <w:rsid w:val="007E350E"/>
    <w:rsid w:val="007F43BF"/>
    <w:rsid w:val="007F67EB"/>
    <w:rsid w:val="008027FB"/>
    <w:rsid w:val="00816B9B"/>
    <w:rsid w:val="0081709D"/>
    <w:rsid w:val="0082201A"/>
    <w:rsid w:val="00843ADC"/>
    <w:rsid w:val="008457E8"/>
    <w:rsid w:val="0086580F"/>
    <w:rsid w:val="00877F77"/>
    <w:rsid w:val="00894E4C"/>
    <w:rsid w:val="008963C6"/>
    <w:rsid w:val="008966C0"/>
    <w:rsid w:val="008A202A"/>
    <w:rsid w:val="008A266B"/>
    <w:rsid w:val="008A56F1"/>
    <w:rsid w:val="008B3ACB"/>
    <w:rsid w:val="008B44B3"/>
    <w:rsid w:val="008C429F"/>
    <w:rsid w:val="008C4DEA"/>
    <w:rsid w:val="008D36AE"/>
    <w:rsid w:val="008E002B"/>
    <w:rsid w:val="008F31E0"/>
    <w:rsid w:val="008F45DF"/>
    <w:rsid w:val="008F61ED"/>
    <w:rsid w:val="008F6A4C"/>
    <w:rsid w:val="008F6D39"/>
    <w:rsid w:val="008F78CC"/>
    <w:rsid w:val="0090005A"/>
    <w:rsid w:val="0090637B"/>
    <w:rsid w:val="009170C6"/>
    <w:rsid w:val="009243C4"/>
    <w:rsid w:val="00924D56"/>
    <w:rsid w:val="00930ECB"/>
    <w:rsid w:val="00933064"/>
    <w:rsid w:val="0094747F"/>
    <w:rsid w:val="009528B3"/>
    <w:rsid w:val="009614EC"/>
    <w:rsid w:val="00964ABD"/>
    <w:rsid w:val="00964D3C"/>
    <w:rsid w:val="009702CB"/>
    <w:rsid w:val="00976F71"/>
    <w:rsid w:val="00984105"/>
    <w:rsid w:val="009876FF"/>
    <w:rsid w:val="00994DAC"/>
    <w:rsid w:val="009B3159"/>
    <w:rsid w:val="009C2E45"/>
    <w:rsid w:val="009D1B18"/>
    <w:rsid w:val="009D2DE5"/>
    <w:rsid w:val="009D62C9"/>
    <w:rsid w:val="009E551E"/>
    <w:rsid w:val="009E56E3"/>
    <w:rsid w:val="009F55EB"/>
    <w:rsid w:val="00A06428"/>
    <w:rsid w:val="00A076F3"/>
    <w:rsid w:val="00A07A64"/>
    <w:rsid w:val="00A12EA0"/>
    <w:rsid w:val="00A148F6"/>
    <w:rsid w:val="00A22435"/>
    <w:rsid w:val="00A22EB4"/>
    <w:rsid w:val="00A34130"/>
    <w:rsid w:val="00A409D8"/>
    <w:rsid w:val="00A415CA"/>
    <w:rsid w:val="00A42944"/>
    <w:rsid w:val="00A444C3"/>
    <w:rsid w:val="00A44C5A"/>
    <w:rsid w:val="00A457EB"/>
    <w:rsid w:val="00A47B7A"/>
    <w:rsid w:val="00A56BD8"/>
    <w:rsid w:val="00A56EC5"/>
    <w:rsid w:val="00A57BF9"/>
    <w:rsid w:val="00A93613"/>
    <w:rsid w:val="00A93E2A"/>
    <w:rsid w:val="00A964EE"/>
    <w:rsid w:val="00AA0374"/>
    <w:rsid w:val="00AA3497"/>
    <w:rsid w:val="00AA3C1F"/>
    <w:rsid w:val="00AA5DC2"/>
    <w:rsid w:val="00AC2534"/>
    <w:rsid w:val="00AD2E63"/>
    <w:rsid w:val="00AD3724"/>
    <w:rsid w:val="00AE0B3B"/>
    <w:rsid w:val="00AE3368"/>
    <w:rsid w:val="00AF52CB"/>
    <w:rsid w:val="00AF5CD3"/>
    <w:rsid w:val="00AF7BB8"/>
    <w:rsid w:val="00B037FF"/>
    <w:rsid w:val="00B045F9"/>
    <w:rsid w:val="00B04E5B"/>
    <w:rsid w:val="00B16DF2"/>
    <w:rsid w:val="00B333CD"/>
    <w:rsid w:val="00B3760B"/>
    <w:rsid w:val="00B54ECB"/>
    <w:rsid w:val="00B57D23"/>
    <w:rsid w:val="00B60652"/>
    <w:rsid w:val="00B63361"/>
    <w:rsid w:val="00B64C1F"/>
    <w:rsid w:val="00B6521B"/>
    <w:rsid w:val="00B706F2"/>
    <w:rsid w:val="00B9090B"/>
    <w:rsid w:val="00B90B8C"/>
    <w:rsid w:val="00BA24EE"/>
    <w:rsid w:val="00BA3C24"/>
    <w:rsid w:val="00BC118D"/>
    <w:rsid w:val="00BC35BA"/>
    <w:rsid w:val="00BF1788"/>
    <w:rsid w:val="00BF27DF"/>
    <w:rsid w:val="00BF6B84"/>
    <w:rsid w:val="00BF6CE8"/>
    <w:rsid w:val="00C02B9A"/>
    <w:rsid w:val="00C054A2"/>
    <w:rsid w:val="00C144B4"/>
    <w:rsid w:val="00C41A55"/>
    <w:rsid w:val="00C42C37"/>
    <w:rsid w:val="00C42E69"/>
    <w:rsid w:val="00C45E60"/>
    <w:rsid w:val="00C57D80"/>
    <w:rsid w:val="00C71AFA"/>
    <w:rsid w:val="00C757DB"/>
    <w:rsid w:val="00C82F34"/>
    <w:rsid w:val="00CA3EDA"/>
    <w:rsid w:val="00CB031C"/>
    <w:rsid w:val="00CB073F"/>
    <w:rsid w:val="00CC46B3"/>
    <w:rsid w:val="00CC48B0"/>
    <w:rsid w:val="00CC776E"/>
    <w:rsid w:val="00CC7F68"/>
    <w:rsid w:val="00CD598A"/>
    <w:rsid w:val="00CE4A37"/>
    <w:rsid w:val="00CE60DD"/>
    <w:rsid w:val="00CF4295"/>
    <w:rsid w:val="00D120AA"/>
    <w:rsid w:val="00D15427"/>
    <w:rsid w:val="00D17D33"/>
    <w:rsid w:val="00D20E9C"/>
    <w:rsid w:val="00D22BBA"/>
    <w:rsid w:val="00D23D89"/>
    <w:rsid w:val="00D254F0"/>
    <w:rsid w:val="00D27374"/>
    <w:rsid w:val="00D310C1"/>
    <w:rsid w:val="00D4717D"/>
    <w:rsid w:val="00D5432F"/>
    <w:rsid w:val="00D64BB6"/>
    <w:rsid w:val="00D660B0"/>
    <w:rsid w:val="00D7151B"/>
    <w:rsid w:val="00D72888"/>
    <w:rsid w:val="00D7697C"/>
    <w:rsid w:val="00D77C62"/>
    <w:rsid w:val="00D8010D"/>
    <w:rsid w:val="00D80789"/>
    <w:rsid w:val="00D85443"/>
    <w:rsid w:val="00D85CAC"/>
    <w:rsid w:val="00D903F8"/>
    <w:rsid w:val="00D94A8A"/>
    <w:rsid w:val="00DA3C6B"/>
    <w:rsid w:val="00DB068C"/>
    <w:rsid w:val="00DB334D"/>
    <w:rsid w:val="00DB62D3"/>
    <w:rsid w:val="00DC4CFC"/>
    <w:rsid w:val="00DD01A3"/>
    <w:rsid w:val="00DD4B95"/>
    <w:rsid w:val="00DE3F2C"/>
    <w:rsid w:val="00DF3174"/>
    <w:rsid w:val="00E0677D"/>
    <w:rsid w:val="00E1616F"/>
    <w:rsid w:val="00E20844"/>
    <w:rsid w:val="00E24D40"/>
    <w:rsid w:val="00E303B5"/>
    <w:rsid w:val="00E30F58"/>
    <w:rsid w:val="00E367F7"/>
    <w:rsid w:val="00E36F17"/>
    <w:rsid w:val="00E544F6"/>
    <w:rsid w:val="00E57FA3"/>
    <w:rsid w:val="00E63232"/>
    <w:rsid w:val="00E70A40"/>
    <w:rsid w:val="00E70B8C"/>
    <w:rsid w:val="00E81B42"/>
    <w:rsid w:val="00E941C6"/>
    <w:rsid w:val="00EA0106"/>
    <w:rsid w:val="00EA4D34"/>
    <w:rsid w:val="00EA4DFF"/>
    <w:rsid w:val="00EA5C47"/>
    <w:rsid w:val="00EB3F49"/>
    <w:rsid w:val="00EB7551"/>
    <w:rsid w:val="00EC51BC"/>
    <w:rsid w:val="00EC6595"/>
    <w:rsid w:val="00ED5412"/>
    <w:rsid w:val="00EE544B"/>
    <w:rsid w:val="00EF7CE2"/>
    <w:rsid w:val="00F159EE"/>
    <w:rsid w:val="00F17A69"/>
    <w:rsid w:val="00F2297E"/>
    <w:rsid w:val="00F30033"/>
    <w:rsid w:val="00F3114F"/>
    <w:rsid w:val="00F37180"/>
    <w:rsid w:val="00F40872"/>
    <w:rsid w:val="00F42BB8"/>
    <w:rsid w:val="00F47F38"/>
    <w:rsid w:val="00F5374D"/>
    <w:rsid w:val="00F551B0"/>
    <w:rsid w:val="00F604AA"/>
    <w:rsid w:val="00F61F83"/>
    <w:rsid w:val="00F64A36"/>
    <w:rsid w:val="00F650DA"/>
    <w:rsid w:val="00F669DB"/>
    <w:rsid w:val="00F76437"/>
    <w:rsid w:val="00F83252"/>
    <w:rsid w:val="00FA0B84"/>
    <w:rsid w:val="00FA1C63"/>
    <w:rsid w:val="00FA32CA"/>
    <w:rsid w:val="00FB1D85"/>
    <w:rsid w:val="00FC3939"/>
    <w:rsid w:val="00FC6708"/>
    <w:rsid w:val="00FD1F0F"/>
    <w:rsid w:val="00FD6201"/>
    <w:rsid w:val="00FD6460"/>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4A63201"/>
  <w15:chartTrackingRefBased/>
  <w15:docId w15:val="{17F78BE0-752A-49ED-9B78-D1F4372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aliases w:val="MyCaption"/>
    <w:basedOn w:val="Normal"/>
    <w:next w:val="Normal"/>
    <w:qFormat/>
    <w:locked/>
    <w:rsid w:val="00553A20"/>
    <w:pPr>
      <w:keepNext/>
      <w:spacing w:after="120"/>
      <w:jc w:val="center"/>
    </w:pPr>
    <w:rPr>
      <w:rFonts w:ascii="Times New Roman" w:hAnsi="Times New Roman"/>
      <w:b/>
      <w:bCs/>
      <w:color w:val="17365D"/>
      <w:sz w:val="20"/>
      <w:szCs w:val="20"/>
    </w:rPr>
  </w:style>
  <w:style w:type="paragraph" w:styleId="NoSpacing">
    <w:name w:val="No Spacing"/>
    <w:uiPriority w:val="1"/>
    <w:qFormat/>
    <w:rsid w:val="00F5374D"/>
    <w:rPr>
      <w:rFonts w:ascii="Times New Roman" w:eastAsia="Times New Roman" w:hAnsi="Times New Roman"/>
      <w:sz w:val="24"/>
      <w:szCs w:val="24"/>
    </w:rPr>
  </w:style>
  <w:style w:type="character" w:customStyle="1" w:styleId="UnresolvedMention">
    <w:name w:val="Unresolved Mention"/>
    <w:uiPriority w:val="99"/>
    <w:semiHidden/>
    <w:unhideWhenUsed/>
    <w:rsid w:val="00F4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c.ligo.org/public/0002/C080185/002/LIGO%20GPs-Commercial%20Terms%20Final%2010-2018%20C080185-v2.pdf" TargetMode="External"/><Relationship Id="rId18" Type="http://schemas.openxmlformats.org/officeDocument/2006/relationships/image" Target="media/image2.png"/><Relationship Id="rId26" Type="http://schemas.openxmlformats.org/officeDocument/2006/relationships/hyperlink" Target="https://dcc.ligo.org/cgi-bin/DocDB/ShowDocument?docid=38519"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dcc.ligo.org/" TargetMode="External"/><Relationship Id="rId17" Type="http://schemas.openxmlformats.org/officeDocument/2006/relationships/hyperlink" Target="https://dcc.ligo.org/LIGO-E2000003/public" TargetMode="External"/><Relationship Id="rId25" Type="http://schemas.openxmlformats.org/officeDocument/2006/relationships/hyperlink" Target="https://dcc.ligo.org/cgi-bin/DocDB/ShowDocument?docid=38519" TargetMode="External"/><Relationship Id="rId2" Type="http://schemas.openxmlformats.org/officeDocument/2006/relationships/customXml" Target="../customXml/item2.xml"/><Relationship Id="rId16" Type="http://schemas.openxmlformats.org/officeDocument/2006/relationships/hyperlink" Target="https://dcc.ligo.org/public/0165/E2000003/002/AplusVacuumFeedThroughRequirements_v2.pdf"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dcc.ligo.org/public/0038/Q1100003/001/Q1100003-v1%20AQL.pdf"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c.ligo.org/public/0001/Q0900001/005/Q0900001-V5.pdf" TargetMode="External"/><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1A52EDBAF90458BAED06AD9B5835A" ma:contentTypeVersion="7" ma:contentTypeDescription="Create a new document." ma:contentTypeScope="" ma:versionID="8d5894b4d5d7f2555a4066a0b8a6e14c">
  <xsd:schema xmlns:xsd="http://www.w3.org/2001/XMLSchema" xmlns:xs="http://www.w3.org/2001/XMLSchema" xmlns:p="http://schemas.microsoft.com/office/2006/metadata/properties" xmlns:ns3="12785b64-6357-49ae-9409-49128930aaa6" xmlns:ns4="f13e6246-cd4f-4864-b192-e7c6c15d242f" targetNamespace="http://schemas.microsoft.com/office/2006/metadata/properties" ma:root="true" ma:fieldsID="6da19eece9460fd3baf9341b3156d241" ns3:_="" ns4:_="">
    <xsd:import namespace="12785b64-6357-49ae-9409-49128930aaa6"/>
    <xsd:import namespace="f13e6246-cd4f-4864-b192-e7c6c15d24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5b64-6357-49ae-9409-49128930a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e6246-cd4f-4864-b192-e7c6c15d2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809E-14F9-4319-8086-543A150E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5b64-6357-49ae-9409-49128930aaa6"/>
    <ds:schemaRef ds:uri="f13e6246-cd4f-4864-b192-e7c6c15d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4FF00-72E9-4351-A804-705DE761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DA5AB-B742-4879-97B6-9C172CD38725}">
  <ds:schemaRefs>
    <ds:schemaRef ds:uri="http://schemas.microsoft.com/sharepoint/v3/contenttype/forms"/>
  </ds:schemaRefs>
</ds:datastoreItem>
</file>

<file path=customXml/itemProps4.xml><?xml version="1.0" encoding="utf-8"?>
<ds:datastoreItem xmlns:ds="http://schemas.openxmlformats.org/officeDocument/2006/customXml" ds:itemID="{C938B294-4A17-43BB-AD5F-48134C27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8513</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subject/>
  <dc:creator>stephf</dc:creator>
  <cp:keywords/>
  <cp:lastModifiedBy>lsanchez</cp:lastModifiedBy>
  <cp:revision>2</cp:revision>
  <cp:lastPrinted>2009-11-17T22:43:00Z</cp:lastPrinted>
  <dcterms:created xsi:type="dcterms:W3CDTF">2020-02-14T22:45:00Z</dcterms:created>
  <dcterms:modified xsi:type="dcterms:W3CDTF">2020-02-14T22:45:00Z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0x010100D8B1A52EDBAF90458BAED06AD9B5835A</vt:lpwstr>
  </property>
</Properties>
</file>