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23369D">
        <w:t xml:space="preserve"> </w:t>
      </w:r>
      <w:r w:rsidR="00F5087C" w:rsidRPr="00F5087C">
        <w:t>E2200487</w:t>
      </w:r>
      <w:r w:rsidR="00747E76">
        <w:t>-v</w:t>
      </w:r>
      <w:r w:rsidR="00F5087C">
        <w:t>1</w:t>
      </w:r>
      <w:r>
        <w:tab/>
      </w:r>
      <w:r w:rsidRPr="00B53DB2">
        <w:rPr>
          <w:rFonts w:ascii="Times" w:hAnsi="Times"/>
          <w:iCs/>
          <w:color w:val="0000FF"/>
          <w:sz w:val="40"/>
        </w:rPr>
        <w:t>Advanced LIGO</w:t>
      </w:r>
      <w:r w:rsidR="00061ED6">
        <w:tab/>
        <w:t>14</w:t>
      </w:r>
      <w:r>
        <w:t xml:space="preserve"> </w:t>
      </w:r>
      <w:r w:rsidR="00061ED6">
        <w:t>December</w:t>
      </w:r>
      <w:r w:rsidR="00B53DB2">
        <w:t xml:space="preserve"> 2022</w:t>
      </w:r>
    </w:p>
    <w:p w:rsidR="00653DF8" w:rsidRDefault="009E4A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Pr="00061ED6" w:rsidRDefault="00061ED6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  <w:rPr>
          <w:sz w:val="52"/>
        </w:rPr>
      </w:pPr>
      <w:bookmarkStart w:id="0" w:name="OLE_LINK1"/>
      <w:bookmarkStart w:id="1" w:name="OLE_LINK2"/>
      <w:r w:rsidRPr="00061ED6">
        <w:rPr>
          <w:sz w:val="52"/>
        </w:rPr>
        <w:t xml:space="preserve">RLF Notch Filter </w:t>
      </w:r>
      <w:r w:rsidR="00653DF8" w:rsidRPr="00061ED6">
        <w:rPr>
          <w:sz w:val="52"/>
        </w:rPr>
        <w:t>Test Procedure</w:t>
      </w:r>
    </w:p>
    <w:bookmarkEnd w:id="0"/>
    <w:bookmarkEnd w:id="1"/>
    <w:p w:rsidR="00653DF8" w:rsidRDefault="009E4A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  <w:r w:rsidR="004A540A">
        <w:t>, Marc Pirello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788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9E4A4A">
      <w:pPr>
        <w:pStyle w:val="PlainText"/>
        <w:jc w:val="center"/>
      </w:pPr>
      <w:hyperlink r:id="rId8" w:history="1">
        <w:r w:rsidR="00255E0A" w:rsidRPr="00A264CD">
          <w:rPr>
            <w:rStyle w:val="Hyperlink"/>
          </w:rPr>
          <w:t>http://www.ligo.caltech.edu/</w:t>
        </w:r>
      </w:hyperlink>
    </w:p>
    <w:p w:rsidR="009E3C75" w:rsidRDefault="009E3C75" w:rsidP="009560A3">
      <w:pPr>
        <w:pStyle w:val="PlainText"/>
        <w:spacing w:before="600"/>
        <w:jc w:val="center"/>
      </w:pPr>
    </w:p>
    <w:tbl>
      <w:tblPr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4050"/>
        <w:gridCol w:w="3155"/>
      </w:tblGrid>
      <w:tr w:rsidR="00255E0A" w:rsidTr="004E4344">
        <w:trPr>
          <w:trHeight w:val="516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55E0A" w:rsidRPr="009E1AE1" w:rsidRDefault="00255E0A" w:rsidP="008510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55E0A" w:rsidRPr="009E1AE1" w:rsidRDefault="00255E0A" w:rsidP="008510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Engineer</w:t>
            </w: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55E0A" w:rsidRPr="009E1AE1" w:rsidRDefault="00255E0A" w:rsidP="008510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Chassis Serial</w:t>
            </w:r>
          </w:p>
        </w:tc>
      </w:tr>
      <w:tr w:rsidR="00255E0A" w:rsidTr="009560A3">
        <w:trPr>
          <w:trHeight w:val="809"/>
        </w:trPr>
        <w:tc>
          <w:tcPr>
            <w:tcW w:w="2250" w:type="dxa"/>
            <w:vAlign w:val="center"/>
          </w:tcPr>
          <w:p w:rsidR="00255E0A" w:rsidRPr="009E1AE1" w:rsidRDefault="00255E0A" w:rsidP="0085104D">
            <w:pPr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55E0A" w:rsidRPr="009E1AE1" w:rsidRDefault="00255E0A" w:rsidP="0085104D">
            <w:pPr>
              <w:jc w:val="center"/>
              <w:rPr>
                <w:sz w:val="20"/>
              </w:rPr>
            </w:pPr>
          </w:p>
        </w:tc>
        <w:tc>
          <w:tcPr>
            <w:tcW w:w="3155" w:type="dxa"/>
            <w:vAlign w:val="center"/>
          </w:tcPr>
          <w:p w:rsidR="00255E0A" w:rsidRPr="009E1AE1" w:rsidRDefault="00255E0A" w:rsidP="0085104D">
            <w:pPr>
              <w:jc w:val="center"/>
              <w:rPr>
                <w:sz w:val="20"/>
              </w:rPr>
            </w:pPr>
          </w:p>
        </w:tc>
      </w:tr>
    </w:tbl>
    <w:p w:rsidR="00653DF8" w:rsidRDefault="008329BD" w:rsidP="000A648E">
      <w:pPr>
        <w:pStyle w:val="Heading1"/>
      </w:pPr>
      <w:r>
        <w:lastRenderedPageBreak/>
        <w:t>O</w:t>
      </w:r>
      <w:r w:rsidR="00255E0A">
        <w:t>v</w:t>
      </w:r>
      <w:r w:rsidR="00653DF8">
        <w:t>erview</w:t>
      </w:r>
    </w:p>
    <w:p w:rsidR="00653DF8" w:rsidRDefault="00AE4B1F" w:rsidP="000A648E">
      <w:pPr>
        <w:pStyle w:val="Heading1"/>
      </w:pPr>
      <w:r>
        <w:t>Power Board</w:t>
      </w:r>
    </w:p>
    <w:p w:rsidR="00653DF8" w:rsidRDefault="00653DF8" w:rsidP="00686142">
      <w:pPr>
        <w:pStyle w:val="Heading2"/>
      </w:pPr>
      <w:r>
        <w:t xml:space="preserve">DC </w:t>
      </w:r>
      <w:r w:rsidR="00084C79">
        <w:t>Power Supply</w:t>
      </w:r>
    </w:p>
    <w:p w:rsidR="00653DF8" w:rsidRDefault="00653DF8" w:rsidP="002C7977">
      <w:pPr>
        <w:ind w:firstLine="360"/>
      </w:pPr>
      <w:r>
        <w:t xml:space="preserve">Total chassis power and individual voltages are recorded in </w:t>
      </w:r>
      <w:r w:rsidR="009E4A4A">
        <w:fldChar w:fldCharType="begin"/>
      </w:r>
      <w:r w:rsidR="009E4A4A">
        <w:instrText xml:space="preserve"> REF _Ref284331971 </w:instrText>
      </w:r>
      <w:r w:rsidR="009E4A4A">
        <w:fldChar w:fldCharType="separate"/>
      </w:r>
      <w:r w:rsidR="00D022C1">
        <w:t xml:space="preserve">Table </w:t>
      </w:r>
      <w:r w:rsidR="00D022C1">
        <w:rPr>
          <w:noProof/>
        </w:rPr>
        <w:t>1</w:t>
      </w:r>
      <w:r w:rsidR="009E4A4A">
        <w:rPr>
          <w:noProof/>
        </w:rPr>
        <w:fldChar w:fldCharType="end"/>
      </w:r>
      <w:r>
        <w:t xml:space="preserve">. Use caution in believing the digital readouts of laboratory triple output power supplies.  Their meters are not highly accurate.  When in doubt, use a </w:t>
      </w:r>
      <w:proofErr w:type="spellStart"/>
      <w:r>
        <w:t>multimeter</w:t>
      </w:r>
      <w:proofErr w:type="spellEnd"/>
      <w:r>
        <w:t xml:space="preserve"> on the appropriate scale in series with the supply to be measured.  </w:t>
      </w:r>
    </w:p>
    <w:p w:rsidR="00D064FE" w:rsidRPr="00686142" w:rsidRDefault="00D064FE" w:rsidP="002C7977">
      <w:pPr>
        <w:ind w:firstLine="360"/>
      </w:pPr>
    </w:p>
    <w:p w:rsidR="00653DF8" w:rsidRDefault="00653DF8" w:rsidP="00747D8A">
      <w:pPr>
        <w:pStyle w:val="Caption"/>
        <w:keepNext/>
        <w:jc w:val="center"/>
      </w:pPr>
      <w:bookmarkStart w:id="2" w:name="_Ref284331971"/>
      <w:r>
        <w:t xml:space="preserve">Table </w:t>
      </w:r>
      <w:r w:rsidR="009E4A4A">
        <w:fldChar w:fldCharType="begin"/>
      </w:r>
      <w:r w:rsidR="009E4A4A">
        <w:instrText xml:space="preserve"> SEQ Table \* ARABIC </w:instrText>
      </w:r>
      <w:r w:rsidR="009E4A4A">
        <w:fldChar w:fldCharType="separate"/>
      </w:r>
      <w:r w:rsidR="00D022C1">
        <w:rPr>
          <w:noProof/>
        </w:rPr>
        <w:t>1</w:t>
      </w:r>
      <w:r w:rsidR="009E4A4A">
        <w:rPr>
          <w:noProof/>
        </w:rPr>
        <w:fldChar w:fldCharType="end"/>
      </w:r>
      <w:bookmarkEnd w:id="2"/>
      <w:r>
        <w:t>, Record of DC Test Data</w:t>
      </w: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2346"/>
        <w:gridCol w:w="1986"/>
        <w:gridCol w:w="2054"/>
      </w:tblGrid>
      <w:tr w:rsidR="00653DF8" w:rsidTr="009E1AE1">
        <w:trPr>
          <w:trHeight w:val="417"/>
        </w:trPr>
        <w:tc>
          <w:tcPr>
            <w:tcW w:w="344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653DF8" w:rsidRPr="009E1AE1" w:rsidRDefault="00653DF8" w:rsidP="009E1AE1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Parameter</w:t>
            </w: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653DF8" w:rsidRPr="009E1AE1" w:rsidRDefault="00653DF8" w:rsidP="009E1AE1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Typical Value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653DF8" w:rsidRPr="009E1AE1" w:rsidRDefault="00653DF8" w:rsidP="009E1AE1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Allowable Range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653DF8" w:rsidRPr="009E1AE1" w:rsidRDefault="00653DF8" w:rsidP="009E1AE1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Measured Value</w:t>
            </w: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Front &amp; Rear Panel LEDs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All eight on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N/A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+24V current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0.02A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±50mA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-24V current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0.02A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±50mA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+17V current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0.14A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±50mA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-17V current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0.43A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±50mA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+15V (TP11 on power board)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+15V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±0.1V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-15V (TP6 on power board)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-15V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±0.1V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+VREF (TP12 on power board)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+10V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±0.1V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D7E1B" w:rsidP="009E1A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-N</w:t>
            </w:r>
            <w:r w:rsidR="00653DF8" w:rsidRPr="009E1AE1">
              <w:rPr>
                <w:szCs w:val="24"/>
              </w:rPr>
              <w:t>REF (TP13 on power board)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-10V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±0.1V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03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+5V (TP5 on power board)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+5V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±0.25V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  <w:tr w:rsidR="00653DF8" w:rsidTr="009E1AE1">
        <w:trPr>
          <w:trHeight w:val="417"/>
        </w:trPr>
        <w:tc>
          <w:tcPr>
            <w:tcW w:w="3448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OK (TP14 on power board)</w:t>
            </w:r>
          </w:p>
        </w:tc>
        <w:tc>
          <w:tcPr>
            <w:tcW w:w="234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3.5V</w:t>
            </w:r>
          </w:p>
        </w:tc>
        <w:tc>
          <w:tcPr>
            <w:tcW w:w="1986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3V to 5V</w:t>
            </w:r>
          </w:p>
        </w:tc>
        <w:tc>
          <w:tcPr>
            <w:tcW w:w="2054" w:type="dxa"/>
            <w:vAlign w:val="center"/>
          </w:tcPr>
          <w:p w:rsidR="00653DF8" w:rsidRPr="009E1AE1" w:rsidRDefault="00653DF8" w:rsidP="009E1AE1">
            <w:pPr>
              <w:jc w:val="center"/>
              <w:rPr>
                <w:szCs w:val="24"/>
              </w:rPr>
            </w:pPr>
          </w:p>
        </w:tc>
      </w:tr>
    </w:tbl>
    <w:p w:rsidR="00653DF8" w:rsidRDefault="00653DF8" w:rsidP="00C36295">
      <w:pPr>
        <w:jc w:val="center"/>
      </w:pPr>
    </w:p>
    <w:p w:rsidR="00D064FE" w:rsidRDefault="00D064FE" w:rsidP="00D064FE">
      <w:pPr>
        <w:pStyle w:val="Heading2"/>
      </w:pPr>
      <w:r>
        <w:t>DC Power Supply Noise</w:t>
      </w:r>
    </w:p>
    <w:p w:rsidR="00084C79" w:rsidRDefault="00084C79" w:rsidP="00084C79">
      <w:r>
        <w:t xml:space="preserve">For the noise measurements use a SR785 and measure the </w:t>
      </w:r>
      <w:proofErr w:type="spellStart"/>
      <w:r>
        <w:t>rms</w:t>
      </w:r>
      <w:proofErr w:type="spellEnd"/>
      <w:r>
        <w:t xml:space="preserve"> power spectrum.</w:t>
      </w:r>
    </w:p>
    <w:p w:rsidR="00084C79" w:rsidRPr="00084C79" w:rsidRDefault="00084C79" w:rsidP="00084C79"/>
    <w:p w:rsidR="00084C79" w:rsidRDefault="00084C79" w:rsidP="00084C79">
      <w:pPr>
        <w:pStyle w:val="Caption"/>
        <w:keepNext/>
        <w:jc w:val="center"/>
      </w:pPr>
      <w:r>
        <w:t xml:space="preserve">Table </w:t>
      </w:r>
      <w:r w:rsidR="009E4A4A">
        <w:fldChar w:fldCharType="begin"/>
      </w:r>
      <w:r w:rsidR="009E4A4A">
        <w:instrText xml:space="preserve"> SEQ Table \* ARABIC </w:instrText>
      </w:r>
      <w:r w:rsidR="009E4A4A">
        <w:fldChar w:fldCharType="separate"/>
      </w:r>
      <w:r w:rsidR="00D022C1">
        <w:rPr>
          <w:noProof/>
        </w:rPr>
        <w:t>2</w:t>
      </w:r>
      <w:r w:rsidR="009E4A4A">
        <w:rPr>
          <w:noProof/>
        </w:rPr>
        <w:fldChar w:fldCharType="end"/>
      </w:r>
      <w:r>
        <w:t>, Record of DC Test Data</w:t>
      </w: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2346"/>
        <w:gridCol w:w="1986"/>
        <w:gridCol w:w="2054"/>
      </w:tblGrid>
      <w:tr w:rsidR="00084C79" w:rsidTr="00AB0F7D">
        <w:trPr>
          <w:trHeight w:val="417"/>
        </w:trPr>
        <w:tc>
          <w:tcPr>
            <w:tcW w:w="344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084C79" w:rsidRPr="009E1AE1" w:rsidRDefault="00084C79" w:rsidP="00AB0F7D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Parameter</w:t>
            </w: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084C79" w:rsidRPr="009E1AE1" w:rsidRDefault="00084C79" w:rsidP="00AB0F7D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Typical Value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084C79" w:rsidRPr="009E1AE1" w:rsidRDefault="00084C79" w:rsidP="00AB0F7D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Allowable Range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084C79" w:rsidRPr="009E1AE1" w:rsidRDefault="00084C79" w:rsidP="00AB0F7D">
            <w:pPr>
              <w:jc w:val="center"/>
              <w:rPr>
                <w:b/>
                <w:szCs w:val="24"/>
              </w:rPr>
            </w:pPr>
            <w:r w:rsidRPr="009E1AE1">
              <w:rPr>
                <w:b/>
                <w:szCs w:val="24"/>
              </w:rPr>
              <w:t>Measured Value</w:t>
            </w:r>
          </w:p>
        </w:tc>
      </w:tr>
      <w:tr w:rsidR="00084C79" w:rsidTr="00AB0F7D">
        <w:trPr>
          <w:trHeight w:val="403"/>
        </w:trPr>
        <w:tc>
          <w:tcPr>
            <w:tcW w:w="3448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+15V (TP11 on power board)</w:t>
            </w:r>
          </w:p>
        </w:tc>
        <w:tc>
          <w:tcPr>
            <w:tcW w:w="234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10nV/√Hz @ 140Hz</w:t>
            </w:r>
          </w:p>
        </w:tc>
        <w:tc>
          <w:tcPr>
            <w:tcW w:w="198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</w:p>
        </w:tc>
      </w:tr>
      <w:tr w:rsidR="00084C79" w:rsidTr="00AB0F7D">
        <w:trPr>
          <w:trHeight w:val="403"/>
        </w:trPr>
        <w:tc>
          <w:tcPr>
            <w:tcW w:w="3448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-15V (TP6 on power board)</w:t>
            </w:r>
          </w:p>
        </w:tc>
        <w:tc>
          <w:tcPr>
            <w:tcW w:w="234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12nV/√Hz @ 140Hz</w:t>
            </w:r>
          </w:p>
        </w:tc>
        <w:tc>
          <w:tcPr>
            <w:tcW w:w="198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</w:p>
        </w:tc>
      </w:tr>
      <w:tr w:rsidR="00084C79" w:rsidTr="00AB0F7D">
        <w:trPr>
          <w:trHeight w:val="403"/>
        </w:trPr>
        <w:tc>
          <w:tcPr>
            <w:tcW w:w="3448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+VREF (TP12 on power board)</w:t>
            </w:r>
          </w:p>
        </w:tc>
        <w:tc>
          <w:tcPr>
            <w:tcW w:w="234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5nV/√Hz @ 140Hz</w:t>
            </w:r>
          </w:p>
        </w:tc>
        <w:tc>
          <w:tcPr>
            <w:tcW w:w="198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</w:p>
        </w:tc>
      </w:tr>
      <w:tr w:rsidR="00084C79" w:rsidTr="00AB0F7D">
        <w:trPr>
          <w:trHeight w:val="417"/>
        </w:trPr>
        <w:tc>
          <w:tcPr>
            <w:tcW w:w="3448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-VREF (TP13 on power board)</w:t>
            </w:r>
          </w:p>
        </w:tc>
        <w:tc>
          <w:tcPr>
            <w:tcW w:w="234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7nV/√Hz @ 140Hz</w:t>
            </w:r>
          </w:p>
        </w:tc>
        <w:tc>
          <w:tcPr>
            <w:tcW w:w="1986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  <w:r w:rsidRPr="009E1AE1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084C79" w:rsidRPr="009E1AE1" w:rsidRDefault="00084C79" w:rsidP="00AB0F7D">
            <w:pPr>
              <w:jc w:val="center"/>
              <w:rPr>
                <w:szCs w:val="24"/>
              </w:rPr>
            </w:pPr>
          </w:p>
        </w:tc>
      </w:tr>
    </w:tbl>
    <w:p w:rsidR="00653DF8" w:rsidRDefault="00653DF8">
      <w:pPr>
        <w:spacing w:before="0"/>
        <w:jc w:val="left"/>
      </w:pPr>
    </w:p>
    <w:p w:rsidR="00A72715" w:rsidRDefault="00A72715" w:rsidP="00AE4B1F">
      <w:pPr>
        <w:pStyle w:val="Heading1"/>
      </w:pPr>
      <w:bookmarkStart w:id="3" w:name="_Ref285030923"/>
      <w:r>
        <w:lastRenderedPageBreak/>
        <w:t>Notches</w:t>
      </w:r>
    </w:p>
    <w:p w:rsidR="00A72715" w:rsidRDefault="00A72715" w:rsidP="00B42DD9">
      <w:pPr>
        <w:pStyle w:val="Heading2"/>
        <w:spacing w:before="360"/>
      </w:pPr>
      <w:r>
        <w:t>Measurement Setup</w:t>
      </w:r>
    </w:p>
    <w:p w:rsidR="00A72715" w:rsidRDefault="008178B0" w:rsidP="00A72715">
      <w:r>
        <w:t xml:space="preserve">Set </w:t>
      </w:r>
      <w:r w:rsidR="002D18BA">
        <w:t xml:space="preserve">up an RF network analyzer </w:t>
      </w:r>
      <w:r>
        <w:t xml:space="preserve">to send </w:t>
      </w:r>
      <w:r w:rsidR="002D18BA">
        <w:t>an</w:t>
      </w:r>
      <w:r>
        <w:t xml:space="preserve"> excitati</w:t>
      </w:r>
      <w:r w:rsidR="002D18BA">
        <w:t xml:space="preserve">on to one of the filter inputs and </w:t>
      </w:r>
      <w:r w:rsidR="00D022C1">
        <w:t xml:space="preserve">tee off to </w:t>
      </w:r>
      <w:r w:rsidR="002D18BA">
        <w:t>the</w:t>
      </w:r>
      <w:r>
        <w:t xml:space="preserve"> </w:t>
      </w:r>
      <w:r w:rsidR="00D022C1">
        <w:t xml:space="preserve">first </w:t>
      </w:r>
      <w:r>
        <w:t>input</w:t>
      </w:r>
      <w:r w:rsidR="002D18BA">
        <w:t xml:space="preserve"> of the analyzer</w:t>
      </w:r>
      <w:r w:rsidR="00450B07">
        <w:t>.</w:t>
      </w:r>
      <w:r>
        <w:t xml:space="preserve"> Use the </w:t>
      </w:r>
      <w:r w:rsidR="00D022C1">
        <w:t xml:space="preserve">filter </w:t>
      </w:r>
      <w:r>
        <w:t xml:space="preserve">output to drive the </w:t>
      </w:r>
      <w:r w:rsidR="002D18BA">
        <w:t>A-</w:t>
      </w:r>
      <w:r>
        <w:t>B input</w:t>
      </w:r>
      <w:r w:rsidR="002D18BA">
        <w:t>s of a SR560</w:t>
      </w:r>
      <w:r>
        <w:t>.</w:t>
      </w:r>
      <w:r w:rsidR="002D18BA">
        <w:t xml:space="preserve"> Then use its 50 Ohm output to drive the second input of the analyzer.</w:t>
      </w:r>
    </w:p>
    <w:p w:rsidR="00450B07" w:rsidRDefault="00450B07" w:rsidP="00450B07">
      <w:pPr>
        <w:pStyle w:val="Heading2"/>
      </w:pPr>
      <w:r>
        <w:t>Notch Frequency Tuning</w:t>
      </w:r>
    </w:p>
    <w:p w:rsidR="00450B07" w:rsidRDefault="00450B07" w:rsidP="00450B07">
      <w:r>
        <w:t>While running transfer functions continuously tune the variable capacitor to the correct notch frequency. If the notch frequency is out-of-range adjust the capacitors in positions C1-4 and C11-C14, respectively, to get the notch frequency in range.</w:t>
      </w:r>
    </w:p>
    <w:p w:rsidR="00450B07" w:rsidRDefault="00450B07" w:rsidP="00450B07"/>
    <w:p w:rsidR="00450B07" w:rsidRDefault="00005882" w:rsidP="00450B07">
      <w:pPr>
        <w:pStyle w:val="Caption"/>
        <w:keepNext/>
        <w:jc w:val="center"/>
      </w:pPr>
      <w:r>
        <w:t xml:space="preserve">Table </w:t>
      </w:r>
      <w:r w:rsidR="009E4A4A">
        <w:fldChar w:fldCharType="begin"/>
      </w:r>
      <w:r w:rsidR="009E4A4A">
        <w:instrText xml:space="preserve"> SEQ Table \* ARABIC </w:instrText>
      </w:r>
      <w:r w:rsidR="009E4A4A">
        <w:fldChar w:fldCharType="separate"/>
      </w:r>
      <w:r w:rsidR="00D022C1">
        <w:rPr>
          <w:noProof/>
        </w:rPr>
        <w:t>3</w:t>
      </w:r>
      <w:r w:rsidR="009E4A4A">
        <w:rPr>
          <w:noProof/>
        </w:rPr>
        <w:fldChar w:fldCharType="end"/>
      </w:r>
      <w:r>
        <w:t>,</w:t>
      </w:r>
      <w:r w:rsidR="00450B07">
        <w:t xml:space="preserve"> Channel 1</w:t>
      </w:r>
      <w:r w:rsidR="006E1885">
        <w:t>/2</w:t>
      </w:r>
      <w:r w:rsidR="00450B07">
        <w:t xml:space="preserve"> Notch Frequency Tuning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0"/>
        <w:gridCol w:w="2209"/>
        <w:gridCol w:w="2207"/>
        <w:gridCol w:w="2134"/>
        <w:gridCol w:w="2160"/>
      </w:tblGrid>
      <w:tr w:rsidR="00450B07" w:rsidTr="00856BA2">
        <w:trPr>
          <w:cantSplit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50B07" w:rsidRPr="009E1AE1" w:rsidRDefault="00450B07" w:rsidP="0085104D">
            <w:pPr>
              <w:jc w:val="center"/>
              <w:rPr>
                <w:b/>
              </w:rPr>
            </w:pPr>
            <w:r>
              <w:rPr>
                <w:b/>
              </w:rPr>
              <w:t>Notch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50B07" w:rsidRPr="009E1AE1" w:rsidRDefault="00450B07" w:rsidP="0085104D">
            <w:pPr>
              <w:jc w:val="center"/>
              <w:rPr>
                <w:b/>
              </w:rPr>
            </w:pPr>
            <w:r>
              <w:rPr>
                <w:b/>
              </w:rPr>
              <w:t>Nominal (Hz)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</w:tcBorders>
            <w:shd w:val="clear" w:color="auto" w:fill="D9D9D9"/>
            <w:vAlign w:val="center"/>
          </w:tcPr>
          <w:p w:rsidR="00450B07" w:rsidRPr="009E1AE1" w:rsidRDefault="00450B07" w:rsidP="0085104D">
            <w:pPr>
              <w:jc w:val="center"/>
              <w:rPr>
                <w:b/>
              </w:rPr>
            </w:pPr>
            <w:r w:rsidRPr="009E1AE1">
              <w:rPr>
                <w:b/>
              </w:rPr>
              <w:t>Allowable Range</w:t>
            </w:r>
          </w:p>
        </w:tc>
        <w:tc>
          <w:tcPr>
            <w:tcW w:w="4294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450B07" w:rsidRPr="009E1AE1" w:rsidRDefault="00450B07" w:rsidP="00450B07">
            <w:pPr>
              <w:jc w:val="center"/>
              <w:rPr>
                <w:b/>
              </w:rPr>
            </w:pPr>
            <w:r w:rsidRPr="009E1AE1">
              <w:rPr>
                <w:b/>
              </w:rPr>
              <w:t xml:space="preserve">Measured </w:t>
            </w:r>
            <w:r>
              <w:rPr>
                <w:b/>
              </w:rPr>
              <w:t>Frequency (</w:t>
            </w:r>
            <w:r w:rsidRPr="009E1AE1">
              <w:rPr>
                <w:b/>
              </w:rPr>
              <w:t>Hz</w:t>
            </w:r>
            <w:r>
              <w:rPr>
                <w:b/>
              </w:rPr>
              <w:t>)</w:t>
            </w:r>
          </w:p>
        </w:tc>
      </w:tr>
      <w:tr w:rsidR="00450B07" w:rsidTr="00856BA2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50B07" w:rsidRPr="009E1AE1" w:rsidRDefault="00450B07" w:rsidP="0085104D">
            <w:pPr>
              <w:jc w:val="center"/>
              <w:rPr>
                <w:b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50B07" w:rsidRPr="009E1AE1" w:rsidRDefault="00450B07" w:rsidP="0085104D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nil"/>
            </w:tcBorders>
            <w:shd w:val="clear" w:color="auto" w:fill="D9D9D9"/>
            <w:vAlign w:val="center"/>
          </w:tcPr>
          <w:p w:rsidR="00450B07" w:rsidRPr="009E1AE1" w:rsidRDefault="00450B07" w:rsidP="0085104D">
            <w:pPr>
              <w:jc w:val="center"/>
              <w:rPr>
                <w:b/>
              </w:rPr>
            </w:pPr>
          </w:p>
        </w:tc>
        <w:tc>
          <w:tcPr>
            <w:tcW w:w="2134" w:type="dxa"/>
            <w:shd w:val="clear" w:color="auto" w:fill="D9D9D9"/>
          </w:tcPr>
          <w:p w:rsidR="00450B07" w:rsidRPr="009E1AE1" w:rsidRDefault="006E1885" w:rsidP="0085104D">
            <w:pPr>
              <w:jc w:val="center"/>
              <w:rPr>
                <w:b/>
              </w:rPr>
            </w:pPr>
            <w:r>
              <w:rPr>
                <w:b/>
              </w:rPr>
              <w:t>Channel 1</w:t>
            </w:r>
          </w:p>
        </w:tc>
        <w:tc>
          <w:tcPr>
            <w:tcW w:w="2160" w:type="dxa"/>
            <w:shd w:val="clear" w:color="auto" w:fill="D9D9D9"/>
          </w:tcPr>
          <w:p w:rsidR="00450B07" w:rsidRPr="009E1AE1" w:rsidRDefault="006E1885" w:rsidP="0085104D">
            <w:pPr>
              <w:jc w:val="center"/>
              <w:rPr>
                <w:b/>
              </w:rPr>
            </w:pPr>
            <w:r>
              <w:rPr>
                <w:b/>
              </w:rPr>
              <w:t>Channel 2</w:t>
            </w:r>
          </w:p>
        </w:tc>
      </w:tr>
      <w:tr w:rsidR="00450B07" w:rsidTr="00856BA2">
        <w:trPr>
          <w:cantSplit/>
        </w:trPr>
        <w:tc>
          <w:tcPr>
            <w:tcW w:w="0" w:type="auto"/>
            <w:vAlign w:val="center"/>
          </w:tcPr>
          <w:p w:rsidR="00450B07" w:rsidRDefault="00450B07" w:rsidP="0085104D">
            <w:pPr>
              <w:jc w:val="center"/>
            </w:pPr>
            <w:r>
              <w:t>1</w:t>
            </w:r>
          </w:p>
        </w:tc>
        <w:tc>
          <w:tcPr>
            <w:tcW w:w="2209" w:type="dxa"/>
            <w:vAlign w:val="center"/>
          </w:tcPr>
          <w:p w:rsidR="00450B07" w:rsidRDefault="00450B07" w:rsidP="00450B07">
            <w:pPr>
              <w:jc w:val="center"/>
            </w:pPr>
            <w:r>
              <w:t>105 kHz</w:t>
            </w:r>
          </w:p>
        </w:tc>
        <w:tc>
          <w:tcPr>
            <w:tcW w:w="2207" w:type="dxa"/>
            <w:vAlign w:val="center"/>
          </w:tcPr>
          <w:p w:rsidR="00450B07" w:rsidRDefault="00450B07" w:rsidP="00450B07">
            <w:pPr>
              <w:jc w:val="center"/>
            </w:pPr>
            <w:r>
              <w:t>±1 kHz</w:t>
            </w:r>
          </w:p>
        </w:tc>
        <w:tc>
          <w:tcPr>
            <w:tcW w:w="2134" w:type="dxa"/>
          </w:tcPr>
          <w:p w:rsidR="00450B07" w:rsidRDefault="00450B07" w:rsidP="0085104D">
            <w:pPr>
              <w:jc w:val="center"/>
            </w:pPr>
          </w:p>
        </w:tc>
        <w:tc>
          <w:tcPr>
            <w:tcW w:w="2160" w:type="dxa"/>
          </w:tcPr>
          <w:p w:rsidR="00450B07" w:rsidRDefault="00450B07" w:rsidP="0085104D">
            <w:pPr>
              <w:jc w:val="center"/>
            </w:pPr>
          </w:p>
        </w:tc>
      </w:tr>
      <w:tr w:rsidR="00450B07" w:rsidTr="00856BA2">
        <w:trPr>
          <w:cantSplit/>
        </w:trPr>
        <w:tc>
          <w:tcPr>
            <w:tcW w:w="0" w:type="auto"/>
            <w:vAlign w:val="center"/>
          </w:tcPr>
          <w:p w:rsidR="00450B07" w:rsidRDefault="00450B07" w:rsidP="0085104D">
            <w:pPr>
              <w:jc w:val="center"/>
            </w:pPr>
            <w:r>
              <w:t>2</w:t>
            </w:r>
          </w:p>
        </w:tc>
        <w:tc>
          <w:tcPr>
            <w:tcW w:w="2209" w:type="dxa"/>
            <w:vAlign w:val="center"/>
          </w:tcPr>
          <w:p w:rsidR="00450B07" w:rsidRDefault="00450B07" w:rsidP="0085104D">
            <w:pPr>
              <w:jc w:val="center"/>
            </w:pPr>
            <w:r>
              <w:t>210 kHz</w:t>
            </w:r>
          </w:p>
        </w:tc>
        <w:tc>
          <w:tcPr>
            <w:tcW w:w="2207" w:type="dxa"/>
            <w:vAlign w:val="center"/>
          </w:tcPr>
          <w:p w:rsidR="00450B07" w:rsidRDefault="00450B07" w:rsidP="0085104D">
            <w:pPr>
              <w:jc w:val="center"/>
            </w:pPr>
            <w:r>
              <w:t>±1 kHz</w:t>
            </w:r>
          </w:p>
        </w:tc>
        <w:tc>
          <w:tcPr>
            <w:tcW w:w="2134" w:type="dxa"/>
          </w:tcPr>
          <w:p w:rsidR="00450B07" w:rsidRDefault="00450B07" w:rsidP="0085104D">
            <w:pPr>
              <w:jc w:val="center"/>
            </w:pPr>
          </w:p>
        </w:tc>
        <w:tc>
          <w:tcPr>
            <w:tcW w:w="2160" w:type="dxa"/>
          </w:tcPr>
          <w:p w:rsidR="00450B07" w:rsidRDefault="00450B07" w:rsidP="0085104D">
            <w:pPr>
              <w:jc w:val="center"/>
            </w:pPr>
          </w:p>
        </w:tc>
      </w:tr>
    </w:tbl>
    <w:p w:rsidR="00784660" w:rsidRDefault="00784660" w:rsidP="00220CCB">
      <w:pPr>
        <w:pStyle w:val="Caption"/>
        <w:keepNext/>
        <w:jc w:val="center"/>
      </w:pPr>
    </w:p>
    <w:p w:rsidR="00220CCB" w:rsidRDefault="00005882" w:rsidP="00220CCB">
      <w:pPr>
        <w:pStyle w:val="Caption"/>
        <w:keepNext/>
        <w:jc w:val="center"/>
      </w:pPr>
      <w:r>
        <w:t xml:space="preserve">Table </w:t>
      </w:r>
      <w:r w:rsidR="009E4A4A">
        <w:fldChar w:fldCharType="begin"/>
      </w:r>
      <w:r w:rsidR="009E4A4A">
        <w:instrText xml:space="preserve"> SEQ Table \* ARABIC </w:instrText>
      </w:r>
      <w:r w:rsidR="009E4A4A">
        <w:fldChar w:fldCharType="separate"/>
      </w:r>
      <w:r w:rsidR="00D022C1">
        <w:rPr>
          <w:noProof/>
        </w:rPr>
        <w:t>4</w:t>
      </w:r>
      <w:r w:rsidR="009E4A4A">
        <w:rPr>
          <w:noProof/>
        </w:rPr>
        <w:fldChar w:fldCharType="end"/>
      </w:r>
      <w:r>
        <w:t>,</w:t>
      </w:r>
      <w:r w:rsidR="00220CCB">
        <w:t xml:space="preserve"> Channel 1 Notch Frequency Depth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0"/>
        <w:gridCol w:w="2209"/>
        <w:gridCol w:w="2207"/>
        <w:gridCol w:w="2134"/>
        <w:gridCol w:w="2160"/>
      </w:tblGrid>
      <w:tr w:rsidR="00220CCB" w:rsidTr="00856BA2">
        <w:trPr>
          <w:cantSplit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20CCB" w:rsidRPr="009E1AE1" w:rsidRDefault="00220CCB" w:rsidP="0085104D">
            <w:pPr>
              <w:jc w:val="center"/>
              <w:rPr>
                <w:b/>
              </w:rPr>
            </w:pPr>
            <w:r>
              <w:rPr>
                <w:b/>
              </w:rPr>
              <w:t>Notch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20CCB" w:rsidRPr="009E1AE1" w:rsidRDefault="00220CCB" w:rsidP="00220CCB">
            <w:pPr>
              <w:jc w:val="center"/>
              <w:rPr>
                <w:b/>
              </w:rPr>
            </w:pPr>
            <w:r>
              <w:rPr>
                <w:b/>
              </w:rPr>
              <w:t>Nominal (dB)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</w:tcBorders>
            <w:shd w:val="clear" w:color="auto" w:fill="D9D9D9"/>
            <w:vAlign w:val="center"/>
          </w:tcPr>
          <w:p w:rsidR="00220CCB" w:rsidRPr="009E1AE1" w:rsidRDefault="00220CCB" w:rsidP="0085104D">
            <w:pPr>
              <w:jc w:val="center"/>
              <w:rPr>
                <w:b/>
              </w:rPr>
            </w:pPr>
            <w:r w:rsidRPr="009E1AE1">
              <w:rPr>
                <w:b/>
              </w:rPr>
              <w:t>Allowable Range</w:t>
            </w:r>
          </w:p>
        </w:tc>
        <w:tc>
          <w:tcPr>
            <w:tcW w:w="4294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220CCB" w:rsidRPr="009E1AE1" w:rsidRDefault="00220CCB" w:rsidP="0000483F">
            <w:pPr>
              <w:jc w:val="center"/>
              <w:rPr>
                <w:b/>
              </w:rPr>
            </w:pPr>
            <w:r w:rsidRPr="009E1AE1">
              <w:rPr>
                <w:b/>
              </w:rPr>
              <w:t xml:space="preserve">Measured </w:t>
            </w:r>
            <w:r w:rsidR="0000483F">
              <w:rPr>
                <w:b/>
              </w:rPr>
              <w:t>Depth</w:t>
            </w:r>
            <w:r>
              <w:rPr>
                <w:b/>
              </w:rPr>
              <w:t xml:space="preserve"> (</w:t>
            </w:r>
            <w:r w:rsidR="0000483F">
              <w:rPr>
                <w:b/>
              </w:rPr>
              <w:t>dB</w:t>
            </w:r>
            <w:r>
              <w:rPr>
                <w:b/>
              </w:rPr>
              <w:t>)</w:t>
            </w:r>
          </w:p>
        </w:tc>
      </w:tr>
      <w:tr w:rsidR="006E1885" w:rsidTr="00856BA2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E1885" w:rsidRPr="009E1AE1" w:rsidRDefault="006E1885" w:rsidP="006E1885">
            <w:pPr>
              <w:jc w:val="center"/>
              <w:rPr>
                <w:b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E1885" w:rsidRPr="009E1AE1" w:rsidRDefault="006E1885" w:rsidP="006E1885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nil"/>
            </w:tcBorders>
            <w:shd w:val="clear" w:color="auto" w:fill="D9D9D9"/>
            <w:vAlign w:val="center"/>
          </w:tcPr>
          <w:p w:rsidR="006E1885" w:rsidRPr="009E1AE1" w:rsidRDefault="006E1885" w:rsidP="006E1885">
            <w:pPr>
              <w:jc w:val="center"/>
              <w:rPr>
                <w:b/>
              </w:rPr>
            </w:pPr>
          </w:p>
        </w:tc>
        <w:tc>
          <w:tcPr>
            <w:tcW w:w="2134" w:type="dxa"/>
            <w:shd w:val="clear" w:color="auto" w:fill="D9D9D9"/>
          </w:tcPr>
          <w:p w:rsidR="006E1885" w:rsidRPr="009E1AE1" w:rsidRDefault="006E1885" w:rsidP="006E1885">
            <w:pPr>
              <w:jc w:val="center"/>
              <w:rPr>
                <w:b/>
              </w:rPr>
            </w:pPr>
            <w:r>
              <w:rPr>
                <w:b/>
              </w:rPr>
              <w:t>Channel 1</w:t>
            </w:r>
          </w:p>
        </w:tc>
        <w:tc>
          <w:tcPr>
            <w:tcW w:w="2160" w:type="dxa"/>
            <w:shd w:val="clear" w:color="auto" w:fill="D9D9D9"/>
          </w:tcPr>
          <w:p w:rsidR="006E1885" w:rsidRPr="009E1AE1" w:rsidRDefault="006E1885" w:rsidP="006E1885">
            <w:pPr>
              <w:jc w:val="center"/>
              <w:rPr>
                <w:b/>
              </w:rPr>
            </w:pPr>
            <w:r>
              <w:rPr>
                <w:b/>
              </w:rPr>
              <w:t>Channel 2</w:t>
            </w:r>
          </w:p>
        </w:tc>
      </w:tr>
      <w:tr w:rsidR="00220CCB" w:rsidTr="00856BA2">
        <w:trPr>
          <w:cantSplit/>
        </w:trPr>
        <w:tc>
          <w:tcPr>
            <w:tcW w:w="0" w:type="auto"/>
            <w:vAlign w:val="center"/>
          </w:tcPr>
          <w:p w:rsidR="00220CCB" w:rsidRDefault="00220CCB" w:rsidP="0085104D">
            <w:pPr>
              <w:jc w:val="center"/>
            </w:pPr>
            <w:r>
              <w:t>1</w:t>
            </w:r>
          </w:p>
        </w:tc>
        <w:tc>
          <w:tcPr>
            <w:tcW w:w="2209" w:type="dxa"/>
            <w:vAlign w:val="center"/>
          </w:tcPr>
          <w:p w:rsidR="00220CCB" w:rsidRDefault="00220CCB" w:rsidP="0085104D">
            <w:pPr>
              <w:jc w:val="center"/>
            </w:pPr>
            <w:r>
              <w:t>40 dB</w:t>
            </w:r>
          </w:p>
        </w:tc>
        <w:tc>
          <w:tcPr>
            <w:tcW w:w="2207" w:type="dxa"/>
            <w:vAlign w:val="center"/>
          </w:tcPr>
          <w:p w:rsidR="00220CCB" w:rsidRDefault="00220CCB" w:rsidP="0085104D">
            <w:pPr>
              <w:jc w:val="center"/>
            </w:pPr>
            <w:r>
              <w:t>&lt;30 dB</w:t>
            </w:r>
          </w:p>
        </w:tc>
        <w:tc>
          <w:tcPr>
            <w:tcW w:w="2134" w:type="dxa"/>
          </w:tcPr>
          <w:p w:rsidR="00220CCB" w:rsidRDefault="00220CCB" w:rsidP="0085104D">
            <w:pPr>
              <w:jc w:val="center"/>
            </w:pPr>
          </w:p>
        </w:tc>
        <w:tc>
          <w:tcPr>
            <w:tcW w:w="2160" w:type="dxa"/>
          </w:tcPr>
          <w:p w:rsidR="00220CCB" w:rsidRDefault="00220CCB" w:rsidP="0085104D">
            <w:pPr>
              <w:jc w:val="center"/>
            </w:pPr>
          </w:p>
        </w:tc>
      </w:tr>
      <w:tr w:rsidR="00220CCB" w:rsidTr="00856BA2">
        <w:trPr>
          <w:cantSplit/>
        </w:trPr>
        <w:tc>
          <w:tcPr>
            <w:tcW w:w="0" w:type="auto"/>
            <w:vAlign w:val="center"/>
          </w:tcPr>
          <w:p w:rsidR="00220CCB" w:rsidRDefault="00220CCB" w:rsidP="0085104D">
            <w:pPr>
              <w:jc w:val="center"/>
            </w:pPr>
            <w:r>
              <w:t>2</w:t>
            </w:r>
          </w:p>
        </w:tc>
        <w:tc>
          <w:tcPr>
            <w:tcW w:w="2209" w:type="dxa"/>
            <w:vAlign w:val="center"/>
          </w:tcPr>
          <w:p w:rsidR="00220CCB" w:rsidRDefault="00220CCB" w:rsidP="0085104D">
            <w:pPr>
              <w:jc w:val="center"/>
            </w:pPr>
            <w:r>
              <w:t>40 dB</w:t>
            </w:r>
          </w:p>
        </w:tc>
        <w:tc>
          <w:tcPr>
            <w:tcW w:w="2207" w:type="dxa"/>
            <w:vAlign w:val="center"/>
          </w:tcPr>
          <w:p w:rsidR="00220CCB" w:rsidRDefault="00220CCB" w:rsidP="0085104D">
            <w:pPr>
              <w:jc w:val="center"/>
            </w:pPr>
            <w:r>
              <w:t>&lt;30 dB</w:t>
            </w:r>
          </w:p>
        </w:tc>
        <w:tc>
          <w:tcPr>
            <w:tcW w:w="2134" w:type="dxa"/>
          </w:tcPr>
          <w:p w:rsidR="00220CCB" w:rsidRDefault="00220CCB" w:rsidP="0085104D">
            <w:pPr>
              <w:jc w:val="center"/>
            </w:pPr>
          </w:p>
        </w:tc>
        <w:tc>
          <w:tcPr>
            <w:tcW w:w="2160" w:type="dxa"/>
          </w:tcPr>
          <w:p w:rsidR="00220CCB" w:rsidRDefault="00220CCB" w:rsidP="0085104D">
            <w:pPr>
              <w:jc w:val="center"/>
            </w:pPr>
          </w:p>
        </w:tc>
      </w:tr>
    </w:tbl>
    <w:p w:rsidR="009236D7" w:rsidRDefault="009236D7">
      <w:pPr>
        <w:spacing w:before="0"/>
        <w:jc w:val="left"/>
        <w:rPr>
          <w:b/>
        </w:rPr>
      </w:pPr>
    </w:p>
    <w:p w:rsidR="00DE1C2F" w:rsidRDefault="00DE1C2F" w:rsidP="00DE1C2F">
      <w:pPr>
        <w:pStyle w:val="Heading2"/>
      </w:pPr>
      <w:r>
        <w:t>Notch Enable</w:t>
      </w:r>
    </w:p>
    <w:p w:rsidR="00DE1C2F" w:rsidRDefault="00DE1C2F" w:rsidP="00DE1C2F">
      <w:r>
        <w:t>The notch filters can be enabled for each channel using a DIP switch SW1</w:t>
      </w:r>
      <w:r w:rsidR="00D9097E">
        <w:t>A and SW1B</w:t>
      </w:r>
      <w:r>
        <w:t>. Enable</w:t>
      </w:r>
      <w:r w:rsidR="00DB73A6">
        <w:t xml:space="preserve"> or </w:t>
      </w:r>
      <w:r>
        <w:t xml:space="preserve">disable </w:t>
      </w:r>
      <w:r w:rsidR="00DB73A6">
        <w:t>each channel</w:t>
      </w:r>
      <w:r>
        <w:t xml:space="preserve"> depending on need.</w:t>
      </w:r>
      <w:r w:rsidR="00BC33ED">
        <w:t xml:space="preserve"> If the channel is disabled, check that the resulting transfer function is flat.</w:t>
      </w:r>
    </w:p>
    <w:p w:rsidR="00BC33ED" w:rsidRDefault="00BC33ED" w:rsidP="00DE1C2F"/>
    <w:p w:rsidR="00DE1C2F" w:rsidRDefault="00DE1C2F" w:rsidP="00DE1C2F">
      <w:pPr>
        <w:pStyle w:val="Caption"/>
        <w:keepNext/>
        <w:jc w:val="center"/>
      </w:pPr>
      <w:r>
        <w:t>Table</w:t>
      </w:r>
      <w:r w:rsidR="00005882">
        <w:t xml:space="preserve"> </w:t>
      </w:r>
      <w:r w:rsidR="009E4A4A">
        <w:fldChar w:fldCharType="begin"/>
      </w:r>
      <w:r w:rsidR="009E4A4A">
        <w:instrText xml:space="preserve"> SEQ Table \* AR</w:instrText>
      </w:r>
      <w:r w:rsidR="009E4A4A">
        <w:instrText xml:space="preserve">ABIC </w:instrText>
      </w:r>
      <w:r w:rsidR="009E4A4A">
        <w:fldChar w:fldCharType="separate"/>
      </w:r>
      <w:r w:rsidR="006E1885">
        <w:rPr>
          <w:noProof/>
        </w:rPr>
        <w:t>5</w:t>
      </w:r>
      <w:r w:rsidR="009E4A4A">
        <w:rPr>
          <w:noProof/>
        </w:rPr>
        <w:fldChar w:fldCharType="end"/>
      </w:r>
      <w:r w:rsidR="00005882">
        <w:t>,</w:t>
      </w:r>
      <w:r>
        <w:t xml:space="preserve"> Enable Notch Filters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5"/>
        <w:gridCol w:w="2520"/>
        <w:gridCol w:w="2160"/>
        <w:gridCol w:w="2160"/>
      </w:tblGrid>
      <w:tr w:rsidR="00856BA2" w:rsidTr="00856BA2">
        <w:tc>
          <w:tcPr>
            <w:tcW w:w="2695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856BA2" w:rsidRPr="00DE1C2F" w:rsidRDefault="00856BA2" w:rsidP="0085104D">
            <w:pPr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</w:tcBorders>
            <w:shd w:val="clear" w:color="auto" w:fill="D9D9D9"/>
            <w:vAlign w:val="center"/>
          </w:tcPr>
          <w:p w:rsidR="00856BA2" w:rsidRPr="00DE1C2F" w:rsidRDefault="00856BA2" w:rsidP="0085104D">
            <w:pPr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4320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856BA2" w:rsidRPr="00DE1C2F" w:rsidRDefault="00856BA2" w:rsidP="0085104D">
            <w:pPr>
              <w:jc w:val="center"/>
              <w:rPr>
                <w:b/>
              </w:rPr>
            </w:pPr>
            <w:r>
              <w:rPr>
                <w:b/>
              </w:rPr>
              <w:t>Transfer Function Flat</w:t>
            </w:r>
          </w:p>
        </w:tc>
      </w:tr>
      <w:tr w:rsidR="00856BA2" w:rsidTr="00856BA2">
        <w:tc>
          <w:tcPr>
            <w:tcW w:w="2695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856BA2" w:rsidRPr="00DE1C2F" w:rsidRDefault="00856BA2" w:rsidP="00856BA2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  <w:shd w:val="clear" w:color="auto" w:fill="D9D9D9"/>
            <w:vAlign w:val="center"/>
          </w:tcPr>
          <w:p w:rsidR="00856BA2" w:rsidRPr="00DE1C2F" w:rsidRDefault="00856BA2" w:rsidP="00856BA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D9D9D9"/>
          </w:tcPr>
          <w:p w:rsidR="00856BA2" w:rsidRPr="009E1AE1" w:rsidRDefault="00856BA2" w:rsidP="00856BA2">
            <w:pPr>
              <w:jc w:val="center"/>
              <w:rPr>
                <w:b/>
              </w:rPr>
            </w:pPr>
            <w:r>
              <w:rPr>
                <w:b/>
              </w:rPr>
              <w:t>Channel 1</w:t>
            </w:r>
          </w:p>
        </w:tc>
        <w:tc>
          <w:tcPr>
            <w:tcW w:w="2160" w:type="dxa"/>
            <w:shd w:val="clear" w:color="auto" w:fill="D9D9D9"/>
          </w:tcPr>
          <w:p w:rsidR="00856BA2" w:rsidRPr="009E1AE1" w:rsidRDefault="00856BA2" w:rsidP="00856BA2">
            <w:pPr>
              <w:jc w:val="center"/>
              <w:rPr>
                <w:b/>
              </w:rPr>
            </w:pPr>
            <w:r>
              <w:rPr>
                <w:b/>
              </w:rPr>
              <w:t>Channel 2</w:t>
            </w:r>
          </w:p>
        </w:tc>
        <w:bookmarkStart w:id="4" w:name="_GoBack"/>
        <w:bookmarkEnd w:id="4"/>
      </w:tr>
      <w:tr w:rsidR="00856BA2" w:rsidTr="00856BA2">
        <w:tc>
          <w:tcPr>
            <w:tcW w:w="2695" w:type="dxa"/>
            <w:vAlign w:val="center"/>
          </w:tcPr>
          <w:p w:rsidR="00856BA2" w:rsidRDefault="00856BA2" w:rsidP="008510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856BA2" w:rsidRDefault="00856BA2" w:rsidP="0085104D"/>
        </w:tc>
        <w:tc>
          <w:tcPr>
            <w:tcW w:w="2160" w:type="dxa"/>
          </w:tcPr>
          <w:p w:rsidR="00856BA2" w:rsidRDefault="00856BA2" w:rsidP="0085104D">
            <w:pPr>
              <w:jc w:val="center"/>
            </w:pPr>
          </w:p>
        </w:tc>
        <w:tc>
          <w:tcPr>
            <w:tcW w:w="2160" w:type="dxa"/>
          </w:tcPr>
          <w:p w:rsidR="00856BA2" w:rsidRDefault="00856BA2" w:rsidP="0085104D">
            <w:pPr>
              <w:jc w:val="center"/>
            </w:pPr>
          </w:p>
        </w:tc>
      </w:tr>
    </w:tbl>
    <w:p w:rsidR="00DE1C2F" w:rsidRDefault="00DE1C2F" w:rsidP="00DE1C2F"/>
    <w:p w:rsidR="003740E3" w:rsidRDefault="003740E3">
      <w:pPr>
        <w:spacing w:before="0"/>
        <w:jc w:val="left"/>
        <w:rPr>
          <w:rFonts w:ascii="Arial" w:hAnsi="Arial"/>
          <w:b/>
          <w:sz w:val="26"/>
        </w:rPr>
      </w:pPr>
      <w:r>
        <w:br w:type="page"/>
      </w:r>
    </w:p>
    <w:p w:rsidR="00450B07" w:rsidRDefault="00893986" w:rsidP="00893986">
      <w:pPr>
        <w:pStyle w:val="Heading2"/>
      </w:pPr>
      <w:r>
        <w:lastRenderedPageBreak/>
        <w:t>Pictures</w:t>
      </w:r>
    </w:p>
    <w:p w:rsidR="00893986" w:rsidRDefault="00893986" w:rsidP="00893986">
      <w:pPr>
        <w:jc w:val="center"/>
      </w:pPr>
    </w:p>
    <w:p w:rsidR="00893986" w:rsidRPr="00893986" w:rsidRDefault="006E1885" w:rsidP="0089398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7pt;height:282.5pt">
            <v:imagedata r:id="rId9" o:title="NotchesTF"/>
          </v:shape>
        </w:pict>
      </w:r>
    </w:p>
    <w:bookmarkEnd w:id="3"/>
    <w:p w:rsidR="00A72715" w:rsidRDefault="00A72715">
      <w:pPr>
        <w:spacing w:before="0"/>
        <w:jc w:val="left"/>
        <w:rPr>
          <w:rFonts w:ascii="Arial" w:hAnsi="Arial"/>
          <w:b/>
          <w:kern w:val="28"/>
          <w:sz w:val="28"/>
        </w:rPr>
      </w:pPr>
    </w:p>
    <w:sectPr w:rsidR="00A72715" w:rsidSect="009E3C75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26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4A" w:rsidRDefault="009E4A4A">
      <w:r>
        <w:separator/>
      </w:r>
    </w:p>
  </w:endnote>
  <w:endnote w:type="continuationSeparator" w:id="0">
    <w:p w:rsidR="009E4A4A" w:rsidRDefault="009E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5" w:rsidRDefault="00A72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715" w:rsidRDefault="00A727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5" w:rsidRDefault="00A72715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BA2">
      <w:rPr>
        <w:rStyle w:val="PageNumber"/>
        <w:noProof/>
      </w:rPr>
      <w:t>2</w:t>
    </w:r>
    <w:r>
      <w:rPr>
        <w:rStyle w:val="PageNumber"/>
      </w:rPr>
      <w:fldChar w:fldCharType="end"/>
    </w:r>
  </w:p>
  <w:p w:rsidR="00A72715" w:rsidRDefault="00A727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4A" w:rsidRDefault="009E4A4A">
      <w:r>
        <w:separator/>
      </w:r>
    </w:p>
  </w:footnote>
  <w:footnote w:type="continuationSeparator" w:id="0">
    <w:p w:rsidR="009E4A4A" w:rsidRDefault="009E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5" w:rsidRDefault="00A72715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23369D">
      <w:rPr>
        <w:sz w:val="20"/>
      </w:rPr>
      <w:t>E1100114</w:t>
    </w:r>
    <w:r>
      <w:rPr>
        <w:sz w:val="20"/>
      </w:rPr>
      <w:t>-v3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5" w:rsidRDefault="00A72715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E4A4A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7325997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8"/>
      </w:rPr>
    </w:lvl>
  </w:abstractNum>
  <w:abstractNum w:abstractNumId="17" w15:restartNumberingAfterBreak="0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3"/>
  </w:num>
  <w:num w:numId="23">
    <w:abstractNumId w:val="2"/>
  </w:num>
  <w:num w:numId="24">
    <w:abstractNumId w:val="5"/>
  </w:num>
  <w:num w:numId="25">
    <w:abstractNumId w:val="9"/>
  </w:num>
  <w:num w:numId="26">
    <w:abstractNumId w:val="14"/>
  </w:num>
  <w:num w:numId="27">
    <w:abstractNumId w:val="15"/>
  </w:num>
  <w:num w:numId="28">
    <w:abstractNumId w:val="21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8"/>
  </w:num>
  <w:num w:numId="33">
    <w:abstractNumId w:val="20"/>
  </w:num>
  <w:num w:numId="34">
    <w:abstractNumId w:val="13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40">
    <w:abstractNumId w:val="19"/>
  </w:num>
  <w:num w:numId="41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42">
    <w:abstractNumId w:val="22"/>
  </w:num>
  <w:num w:numId="43">
    <w:abstractNumId w:val="4"/>
  </w:num>
  <w:num w:numId="44">
    <w:abstractNumId w:val="12"/>
  </w:num>
  <w:num w:numId="45">
    <w:abstractNumId w:val="17"/>
  </w:num>
  <w:num w:numId="46">
    <w:abstractNumId w:val="23"/>
  </w:num>
  <w:num w:numId="47">
    <w:abstractNumId w:val="7"/>
  </w:num>
  <w:num w:numId="48">
    <w:abstractNumId w:val="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1360"/>
    <w:rsid w:val="000033E1"/>
    <w:rsid w:val="0000483F"/>
    <w:rsid w:val="00005882"/>
    <w:rsid w:val="0002021B"/>
    <w:rsid w:val="000243F6"/>
    <w:rsid w:val="000378D8"/>
    <w:rsid w:val="000424A0"/>
    <w:rsid w:val="000447EB"/>
    <w:rsid w:val="000466B0"/>
    <w:rsid w:val="0004746B"/>
    <w:rsid w:val="00054241"/>
    <w:rsid w:val="00061ED6"/>
    <w:rsid w:val="00065C03"/>
    <w:rsid w:val="000743B3"/>
    <w:rsid w:val="00075802"/>
    <w:rsid w:val="00084500"/>
    <w:rsid w:val="00084C79"/>
    <w:rsid w:val="0009449C"/>
    <w:rsid w:val="000A2D4E"/>
    <w:rsid w:val="000A32F4"/>
    <w:rsid w:val="000A62BD"/>
    <w:rsid w:val="000A648E"/>
    <w:rsid w:val="000B055B"/>
    <w:rsid w:val="000B22A5"/>
    <w:rsid w:val="000B5AD4"/>
    <w:rsid w:val="000E0156"/>
    <w:rsid w:val="000E450E"/>
    <w:rsid w:val="000F0C2C"/>
    <w:rsid w:val="0010499A"/>
    <w:rsid w:val="001052FC"/>
    <w:rsid w:val="00107F97"/>
    <w:rsid w:val="001125BE"/>
    <w:rsid w:val="00114F21"/>
    <w:rsid w:val="00116B6E"/>
    <w:rsid w:val="00134530"/>
    <w:rsid w:val="001351E2"/>
    <w:rsid w:val="00140F65"/>
    <w:rsid w:val="00145883"/>
    <w:rsid w:val="0015278A"/>
    <w:rsid w:val="00154C16"/>
    <w:rsid w:val="001640DE"/>
    <w:rsid w:val="0016505F"/>
    <w:rsid w:val="00174E5A"/>
    <w:rsid w:val="0018631A"/>
    <w:rsid w:val="001A2F1E"/>
    <w:rsid w:val="001B4629"/>
    <w:rsid w:val="001D0838"/>
    <w:rsid w:val="001E5C43"/>
    <w:rsid w:val="001F541E"/>
    <w:rsid w:val="0020595E"/>
    <w:rsid w:val="0021077A"/>
    <w:rsid w:val="002169B3"/>
    <w:rsid w:val="002174EF"/>
    <w:rsid w:val="00220CCB"/>
    <w:rsid w:val="0023369D"/>
    <w:rsid w:val="00234135"/>
    <w:rsid w:val="00255E0A"/>
    <w:rsid w:val="00263D5D"/>
    <w:rsid w:val="00275479"/>
    <w:rsid w:val="002B0671"/>
    <w:rsid w:val="002C7977"/>
    <w:rsid w:val="002D18BA"/>
    <w:rsid w:val="002E1535"/>
    <w:rsid w:val="00301314"/>
    <w:rsid w:val="00310608"/>
    <w:rsid w:val="003230B5"/>
    <w:rsid w:val="00325538"/>
    <w:rsid w:val="00331534"/>
    <w:rsid w:val="00335B79"/>
    <w:rsid w:val="00345B8C"/>
    <w:rsid w:val="00346C90"/>
    <w:rsid w:val="003619D3"/>
    <w:rsid w:val="00366879"/>
    <w:rsid w:val="0037311C"/>
    <w:rsid w:val="003740E3"/>
    <w:rsid w:val="00382B65"/>
    <w:rsid w:val="003875FA"/>
    <w:rsid w:val="00396C14"/>
    <w:rsid w:val="003C0810"/>
    <w:rsid w:val="003C4D07"/>
    <w:rsid w:val="003C6215"/>
    <w:rsid w:val="003D176B"/>
    <w:rsid w:val="003D1C76"/>
    <w:rsid w:val="003D5C7A"/>
    <w:rsid w:val="003D65EA"/>
    <w:rsid w:val="004006FA"/>
    <w:rsid w:val="00413D80"/>
    <w:rsid w:val="00426CBD"/>
    <w:rsid w:val="0043188E"/>
    <w:rsid w:val="004319D2"/>
    <w:rsid w:val="00443D49"/>
    <w:rsid w:val="004459F9"/>
    <w:rsid w:val="00445F81"/>
    <w:rsid w:val="00450B07"/>
    <w:rsid w:val="0045416C"/>
    <w:rsid w:val="004621FD"/>
    <w:rsid w:val="00462A9B"/>
    <w:rsid w:val="00470697"/>
    <w:rsid w:val="00473229"/>
    <w:rsid w:val="00495853"/>
    <w:rsid w:val="004A12C7"/>
    <w:rsid w:val="004A204A"/>
    <w:rsid w:val="004A540A"/>
    <w:rsid w:val="004B0F2F"/>
    <w:rsid w:val="004B5079"/>
    <w:rsid w:val="004D3C62"/>
    <w:rsid w:val="004D3F50"/>
    <w:rsid w:val="004E4344"/>
    <w:rsid w:val="004F76A2"/>
    <w:rsid w:val="005103AE"/>
    <w:rsid w:val="005443F7"/>
    <w:rsid w:val="00570569"/>
    <w:rsid w:val="00573470"/>
    <w:rsid w:val="00581A05"/>
    <w:rsid w:val="00596AA3"/>
    <w:rsid w:val="005D5ADF"/>
    <w:rsid w:val="005D6BA2"/>
    <w:rsid w:val="005E2332"/>
    <w:rsid w:val="005E5772"/>
    <w:rsid w:val="005E6749"/>
    <w:rsid w:val="005F0C0E"/>
    <w:rsid w:val="005F48B2"/>
    <w:rsid w:val="00626998"/>
    <w:rsid w:val="00635190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142"/>
    <w:rsid w:val="00693D2F"/>
    <w:rsid w:val="0069709F"/>
    <w:rsid w:val="006B0081"/>
    <w:rsid w:val="006B2DBE"/>
    <w:rsid w:val="006B7659"/>
    <w:rsid w:val="006C52FE"/>
    <w:rsid w:val="006D3366"/>
    <w:rsid w:val="006D7E1B"/>
    <w:rsid w:val="006D7EBC"/>
    <w:rsid w:val="006E1885"/>
    <w:rsid w:val="006E1A52"/>
    <w:rsid w:val="006E4294"/>
    <w:rsid w:val="007018DC"/>
    <w:rsid w:val="00706EDC"/>
    <w:rsid w:val="007201F5"/>
    <w:rsid w:val="00747D8A"/>
    <w:rsid w:val="00747E76"/>
    <w:rsid w:val="00751F45"/>
    <w:rsid w:val="00771E48"/>
    <w:rsid w:val="00771FBC"/>
    <w:rsid w:val="00784660"/>
    <w:rsid w:val="00786EA6"/>
    <w:rsid w:val="007878B6"/>
    <w:rsid w:val="00797B3F"/>
    <w:rsid w:val="007A1446"/>
    <w:rsid w:val="007B210A"/>
    <w:rsid w:val="007C1929"/>
    <w:rsid w:val="007C6260"/>
    <w:rsid w:val="007D6FBC"/>
    <w:rsid w:val="007E1598"/>
    <w:rsid w:val="007E1892"/>
    <w:rsid w:val="007E2A7C"/>
    <w:rsid w:val="007E405D"/>
    <w:rsid w:val="007F2DA2"/>
    <w:rsid w:val="008076DD"/>
    <w:rsid w:val="00811EBE"/>
    <w:rsid w:val="00812A8E"/>
    <w:rsid w:val="008178B0"/>
    <w:rsid w:val="00821B1A"/>
    <w:rsid w:val="00823AD6"/>
    <w:rsid w:val="008329BD"/>
    <w:rsid w:val="008401DE"/>
    <w:rsid w:val="00840AEB"/>
    <w:rsid w:val="008534B5"/>
    <w:rsid w:val="00856BA2"/>
    <w:rsid w:val="00870CB1"/>
    <w:rsid w:val="00872713"/>
    <w:rsid w:val="00880391"/>
    <w:rsid w:val="0088255C"/>
    <w:rsid w:val="00890BE9"/>
    <w:rsid w:val="00893986"/>
    <w:rsid w:val="008A11E1"/>
    <w:rsid w:val="008A3858"/>
    <w:rsid w:val="008A7FB1"/>
    <w:rsid w:val="008B58C8"/>
    <w:rsid w:val="008C0ED6"/>
    <w:rsid w:val="008C6D6B"/>
    <w:rsid w:val="008D52A8"/>
    <w:rsid w:val="008E759A"/>
    <w:rsid w:val="008F7C5A"/>
    <w:rsid w:val="00900599"/>
    <w:rsid w:val="009102C3"/>
    <w:rsid w:val="00917BDF"/>
    <w:rsid w:val="009236D7"/>
    <w:rsid w:val="0092673B"/>
    <w:rsid w:val="00952BDD"/>
    <w:rsid w:val="00953315"/>
    <w:rsid w:val="009560A3"/>
    <w:rsid w:val="009563A9"/>
    <w:rsid w:val="00966ED2"/>
    <w:rsid w:val="00970C7F"/>
    <w:rsid w:val="00973CA3"/>
    <w:rsid w:val="00985728"/>
    <w:rsid w:val="00994F69"/>
    <w:rsid w:val="009953FE"/>
    <w:rsid w:val="009A6F36"/>
    <w:rsid w:val="009B5E73"/>
    <w:rsid w:val="009C04FD"/>
    <w:rsid w:val="009C3192"/>
    <w:rsid w:val="009C5129"/>
    <w:rsid w:val="009C6B88"/>
    <w:rsid w:val="009D45BB"/>
    <w:rsid w:val="009E1AE1"/>
    <w:rsid w:val="009E3C75"/>
    <w:rsid w:val="009E4A4A"/>
    <w:rsid w:val="00A1702C"/>
    <w:rsid w:val="00A20CA4"/>
    <w:rsid w:val="00A25271"/>
    <w:rsid w:val="00A33900"/>
    <w:rsid w:val="00A37E8F"/>
    <w:rsid w:val="00A5402E"/>
    <w:rsid w:val="00A600DB"/>
    <w:rsid w:val="00A639AD"/>
    <w:rsid w:val="00A67F26"/>
    <w:rsid w:val="00A70F76"/>
    <w:rsid w:val="00A718EE"/>
    <w:rsid w:val="00A71DC3"/>
    <w:rsid w:val="00A72715"/>
    <w:rsid w:val="00A861AE"/>
    <w:rsid w:val="00A94464"/>
    <w:rsid w:val="00AA73E5"/>
    <w:rsid w:val="00AC3161"/>
    <w:rsid w:val="00AE29E2"/>
    <w:rsid w:val="00AE4B1F"/>
    <w:rsid w:val="00B12540"/>
    <w:rsid w:val="00B157D5"/>
    <w:rsid w:val="00B24460"/>
    <w:rsid w:val="00B3115D"/>
    <w:rsid w:val="00B36C2E"/>
    <w:rsid w:val="00B42DD9"/>
    <w:rsid w:val="00B457BE"/>
    <w:rsid w:val="00B53B30"/>
    <w:rsid w:val="00B53DB2"/>
    <w:rsid w:val="00B557B0"/>
    <w:rsid w:val="00B56D69"/>
    <w:rsid w:val="00B60307"/>
    <w:rsid w:val="00B6210E"/>
    <w:rsid w:val="00B70033"/>
    <w:rsid w:val="00B86931"/>
    <w:rsid w:val="00BB3B20"/>
    <w:rsid w:val="00BB3D45"/>
    <w:rsid w:val="00BB4814"/>
    <w:rsid w:val="00BC33ED"/>
    <w:rsid w:val="00BD46E2"/>
    <w:rsid w:val="00BD50C1"/>
    <w:rsid w:val="00BD573C"/>
    <w:rsid w:val="00BE78B1"/>
    <w:rsid w:val="00C02BF7"/>
    <w:rsid w:val="00C03660"/>
    <w:rsid w:val="00C038FB"/>
    <w:rsid w:val="00C1180B"/>
    <w:rsid w:val="00C228FC"/>
    <w:rsid w:val="00C25547"/>
    <w:rsid w:val="00C258A0"/>
    <w:rsid w:val="00C27286"/>
    <w:rsid w:val="00C36295"/>
    <w:rsid w:val="00C36B39"/>
    <w:rsid w:val="00C453E0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307F"/>
    <w:rsid w:val="00CA6DBA"/>
    <w:rsid w:val="00CA7245"/>
    <w:rsid w:val="00CB295B"/>
    <w:rsid w:val="00CB5442"/>
    <w:rsid w:val="00CB6432"/>
    <w:rsid w:val="00CC7736"/>
    <w:rsid w:val="00CD2B6B"/>
    <w:rsid w:val="00CD343F"/>
    <w:rsid w:val="00CD6E31"/>
    <w:rsid w:val="00CE689A"/>
    <w:rsid w:val="00CF3617"/>
    <w:rsid w:val="00CF4875"/>
    <w:rsid w:val="00CF4A8B"/>
    <w:rsid w:val="00D00650"/>
    <w:rsid w:val="00D022C1"/>
    <w:rsid w:val="00D05CCA"/>
    <w:rsid w:val="00D064FE"/>
    <w:rsid w:val="00D10722"/>
    <w:rsid w:val="00D11274"/>
    <w:rsid w:val="00D14A52"/>
    <w:rsid w:val="00D2683F"/>
    <w:rsid w:val="00D3368C"/>
    <w:rsid w:val="00D33E59"/>
    <w:rsid w:val="00D36819"/>
    <w:rsid w:val="00D372EB"/>
    <w:rsid w:val="00D47BA3"/>
    <w:rsid w:val="00D6268E"/>
    <w:rsid w:val="00D8678F"/>
    <w:rsid w:val="00D9097E"/>
    <w:rsid w:val="00DB0E21"/>
    <w:rsid w:val="00DB1A70"/>
    <w:rsid w:val="00DB73A6"/>
    <w:rsid w:val="00DB77B9"/>
    <w:rsid w:val="00DD7BC5"/>
    <w:rsid w:val="00DE0DEA"/>
    <w:rsid w:val="00DE1C2F"/>
    <w:rsid w:val="00DE742E"/>
    <w:rsid w:val="00DF5355"/>
    <w:rsid w:val="00E06CEE"/>
    <w:rsid w:val="00E130DF"/>
    <w:rsid w:val="00E27A19"/>
    <w:rsid w:val="00E3101D"/>
    <w:rsid w:val="00E500E5"/>
    <w:rsid w:val="00E50386"/>
    <w:rsid w:val="00E51D06"/>
    <w:rsid w:val="00E52DAB"/>
    <w:rsid w:val="00E578C5"/>
    <w:rsid w:val="00E62FDE"/>
    <w:rsid w:val="00E63A0E"/>
    <w:rsid w:val="00E76894"/>
    <w:rsid w:val="00E96E1B"/>
    <w:rsid w:val="00EA434B"/>
    <w:rsid w:val="00EB149F"/>
    <w:rsid w:val="00ED6FF5"/>
    <w:rsid w:val="00EE0D00"/>
    <w:rsid w:val="00EE447D"/>
    <w:rsid w:val="00EF0661"/>
    <w:rsid w:val="00F00525"/>
    <w:rsid w:val="00F13424"/>
    <w:rsid w:val="00F22C0F"/>
    <w:rsid w:val="00F267BB"/>
    <w:rsid w:val="00F351DF"/>
    <w:rsid w:val="00F35863"/>
    <w:rsid w:val="00F42127"/>
    <w:rsid w:val="00F450AD"/>
    <w:rsid w:val="00F5087C"/>
    <w:rsid w:val="00F50FA9"/>
    <w:rsid w:val="00F51D7B"/>
    <w:rsid w:val="00F55C3A"/>
    <w:rsid w:val="00F7059A"/>
    <w:rsid w:val="00F722EA"/>
    <w:rsid w:val="00F755FD"/>
    <w:rsid w:val="00F92F61"/>
    <w:rsid w:val="00F93AFE"/>
    <w:rsid w:val="00F966F0"/>
    <w:rsid w:val="00FA4F0C"/>
    <w:rsid w:val="00FA7253"/>
    <w:rsid w:val="00FB78E7"/>
    <w:rsid w:val="00FC3540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56592F99"/>
  <w15:docId w15:val="{5941990F-8688-4489-8BB7-0E76422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A648E"/>
    <w:pPr>
      <w:keepNext/>
      <w:numPr>
        <w:numId w:val="4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42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8255C"/>
    <w:pPr>
      <w:keepNext/>
      <w:numPr>
        <w:ilvl w:val="2"/>
        <w:numId w:val="4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42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42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4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4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4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4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315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3315"/>
    <w:rPr>
      <w:rFonts w:ascii="Arial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4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5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.caltech.ed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6A2D-C31D-4B9B-9CDD-9A901B95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LIGO I&amp;Q RF Demodulator Test Procedure</vt:lpstr>
    </vt:vector>
  </TitlesOfParts>
  <Company>Caltech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LIGO I&amp;Q RF Demodulator Test Procedure</dc:title>
  <dc:subject>2 channel high bandwidth variant</dc:subject>
  <dc:creator>Richard Abbott, Paul Schwinberg, Daniel Sigg</dc:creator>
  <cp:keywords>demodulator</cp:keywords>
  <cp:lastModifiedBy>Daniel Sigg</cp:lastModifiedBy>
  <cp:revision>13</cp:revision>
  <cp:lastPrinted>2022-12-14T20:06:00Z</cp:lastPrinted>
  <dcterms:created xsi:type="dcterms:W3CDTF">2022-12-14T19:36:00Z</dcterms:created>
  <dcterms:modified xsi:type="dcterms:W3CDTF">2022-12-15T16:57:00Z</dcterms:modified>
  <cp:category>E1100114</cp:category>
</cp:coreProperties>
</file>